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9" w:rsidRDefault="00FD36C9" w:rsidP="00D96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09E" w:rsidRDefault="00FD1434" w:rsidP="00D96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CA">
        <w:rPr>
          <w:rFonts w:ascii="Times New Roman" w:hAnsi="Times New Roman" w:cs="Times New Roman"/>
          <w:b/>
          <w:sz w:val="28"/>
          <w:szCs w:val="28"/>
        </w:rPr>
        <w:t xml:space="preserve">Final Regulations on </w:t>
      </w:r>
      <w:r w:rsidR="005406DE" w:rsidRPr="00D964CA">
        <w:rPr>
          <w:rFonts w:ascii="Times New Roman" w:hAnsi="Times New Roman" w:cs="Times New Roman"/>
          <w:b/>
          <w:sz w:val="28"/>
          <w:szCs w:val="28"/>
        </w:rPr>
        <w:t>Opportunity Zones</w:t>
      </w:r>
      <w:r w:rsidR="0099009E">
        <w:rPr>
          <w:rFonts w:ascii="Times New Roman" w:hAnsi="Times New Roman" w:cs="Times New Roman"/>
          <w:b/>
          <w:sz w:val="28"/>
          <w:szCs w:val="28"/>
        </w:rPr>
        <w:t>:</w:t>
      </w:r>
    </w:p>
    <w:p w:rsidR="00FD1434" w:rsidRPr="00D964CA" w:rsidRDefault="0099009E" w:rsidP="005A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Frequently Asked Questions</w:t>
      </w:r>
    </w:p>
    <w:p w:rsidR="005A24EB" w:rsidRPr="00D964CA" w:rsidRDefault="005A24EB" w:rsidP="00D96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436" w:rsidRPr="00D964CA" w:rsidRDefault="00FD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considering</w:t>
      </w:r>
      <w:r w:rsidR="005406DE" w:rsidRPr="00D964CA">
        <w:rPr>
          <w:rFonts w:ascii="Times New Roman" w:hAnsi="Times New Roman" w:cs="Times New Roman"/>
          <w:sz w:val="24"/>
          <w:szCs w:val="24"/>
        </w:rPr>
        <w:t xml:space="preserve"> over </w:t>
      </w:r>
      <w:r w:rsidR="005A24EB" w:rsidRPr="00D964CA">
        <w:rPr>
          <w:rFonts w:ascii="Times New Roman" w:hAnsi="Times New Roman" w:cs="Times New Roman"/>
          <w:sz w:val="24"/>
          <w:szCs w:val="24"/>
        </w:rPr>
        <w:t>300</w:t>
      </w:r>
      <w:r w:rsidR="005406DE" w:rsidRPr="00D964CA">
        <w:rPr>
          <w:rFonts w:ascii="Times New Roman" w:hAnsi="Times New Roman" w:cs="Times New Roman"/>
          <w:sz w:val="24"/>
          <w:szCs w:val="24"/>
        </w:rPr>
        <w:t xml:space="preserve"> formal comment letter</w:t>
      </w:r>
      <w:r w:rsidR="008F2436" w:rsidRPr="00D964CA">
        <w:rPr>
          <w:rFonts w:ascii="Times New Roman" w:hAnsi="Times New Roman" w:cs="Times New Roman"/>
          <w:sz w:val="24"/>
          <w:szCs w:val="24"/>
        </w:rPr>
        <w:t>s</w:t>
      </w:r>
      <w:r w:rsidR="005406DE" w:rsidRPr="00D964C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additional taxpayer feedback</w:t>
      </w:r>
      <w:r w:rsidR="005406DE" w:rsidRPr="00D964CA">
        <w:rPr>
          <w:rFonts w:ascii="Times New Roman" w:hAnsi="Times New Roman" w:cs="Times New Roman"/>
          <w:sz w:val="24"/>
          <w:szCs w:val="24"/>
        </w:rPr>
        <w:t xml:space="preserve">, the Treasury Department and IRS have </w:t>
      </w:r>
      <w:r>
        <w:rPr>
          <w:rFonts w:ascii="Times New Roman" w:hAnsi="Times New Roman" w:cs="Times New Roman"/>
          <w:sz w:val="24"/>
          <w:szCs w:val="24"/>
        </w:rPr>
        <w:t>issued final regulations on Opportunity Zones to provide clarity and certainty for investors and communities</w:t>
      </w:r>
      <w:r w:rsidR="005406DE" w:rsidRPr="00D964CA">
        <w:rPr>
          <w:rFonts w:ascii="Times New Roman" w:hAnsi="Times New Roman" w:cs="Times New Roman"/>
          <w:sz w:val="24"/>
          <w:szCs w:val="24"/>
        </w:rPr>
        <w:t>.</w:t>
      </w:r>
    </w:p>
    <w:p w:rsidR="005406DE" w:rsidRPr="00D964CA" w:rsidRDefault="00990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questions and answers</w:t>
      </w:r>
      <w:r w:rsidR="00FD1434">
        <w:rPr>
          <w:rFonts w:ascii="Times New Roman" w:hAnsi="Times New Roman" w:cs="Times New Roman"/>
          <w:sz w:val="24"/>
          <w:szCs w:val="24"/>
        </w:rPr>
        <w:t xml:space="preserve"> below describ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D1434">
        <w:rPr>
          <w:rFonts w:ascii="Times New Roman" w:hAnsi="Times New Roman" w:cs="Times New Roman"/>
          <w:sz w:val="24"/>
          <w:szCs w:val="24"/>
        </w:rPr>
        <w:t>changes made to the proposed regulations that are reflected in the final reg</w:t>
      </w:r>
      <w:r>
        <w:rPr>
          <w:rFonts w:ascii="Times New Roman" w:hAnsi="Times New Roman" w:cs="Times New Roman"/>
          <w:sz w:val="24"/>
          <w:szCs w:val="24"/>
        </w:rPr>
        <w:t>ulations in response to engagement with the public.</w:t>
      </w:r>
    </w:p>
    <w:p w:rsidR="00FA3DEF" w:rsidRPr="00D964CA" w:rsidRDefault="00BE4282">
      <w:pPr>
        <w:rPr>
          <w:rFonts w:ascii="Times New Roman" w:hAnsi="Times New Roman" w:cs="Times New Roman"/>
          <w:b/>
          <w:sz w:val="24"/>
          <w:szCs w:val="24"/>
        </w:rPr>
      </w:pPr>
      <w:r w:rsidRPr="00D964CA">
        <w:rPr>
          <w:rFonts w:ascii="Times New Roman" w:hAnsi="Times New Roman" w:cs="Times New Roman"/>
          <w:b/>
          <w:sz w:val="24"/>
          <w:szCs w:val="24"/>
        </w:rPr>
        <w:t>W</w:t>
      </w:r>
      <w:r w:rsidR="009B4EF5" w:rsidRPr="00D964CA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FD1434">
        <w:rPr>
          <w:rFonts w:ascii="Times New Roman" w:hAnsi="Times New Roman" w:cs="Times New Roman"/>
          <w:b/>
          <w:sz w:val="24"/>
          <w:szCs w:val="24"/>
        </w:rPr>
        <w:t xml:space="preserve">types of </w:t>
      </w:r>
      <w:r w:rsidR="009B4EF5" w:rsidRPr="00D964CA">
        <w:rPr>
          <w:rFonts w:ascii="Times New Roman" w:hAnsi="Times New Roman" w:cs="Times New Roman"/>
          <w:b/>
          <w:sz w:val="24"/>
          <w:szCs w:val="24"/>
        </w:rPr>
        <w:t>gains may be invested and when</w:t>
      </w:r>
      <w:r w:rsidRPr="00D964CA">
        <w:rPr>
          <w:rFonts w:ascii="Times New Roman" w:hAnsi="Times New Roman" w:cs="Times New Roman"/>
          <w:b/>
          <w:sz w:val="24"/>
          <w:szCs w:val="24"/>
        </w:rPr>
        <w:t>?</w:t>
      </w:r>
    </w:p>
    <w:p w:rsidR="000F6C5B" w:rsidRDefault="000F6C5B" w:rsidP="000F6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General rule</w:t>
      </w:r>
      <w:r w:rsidRPr="00E77B40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E7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final regulations </w:t>
      </w:r>
      <w:r w:rsidR="00D964CA"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z w:val="24"/>
          <w:szCs w:val="24"/>
        </w:rPr>
        <w:t xml:space="preserve"> the proposed regulations’ general rule that only capital gain may be invested in a Qualified Opportunity Fund</w:t>
      </w:r>
      <w:r w:rsidRPr="0081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1EBA">
        <w:rPr>
          <w:rFonts w:ascii="Times New Roman" w:hAnsi="Times New Roman" w:cs="Times New Roman"/>
          <w:sz w:val="24"/>
          <w:szCs w:val="24"/>
        </w:rPr>
        <w:t>QOF</w:t>
      </w:r>
      <w:r>
        <w:rPr>
          <w:rFonts w:ascii="Times New Roman" w:hAnsi="Times New Roman" w:cs="Times New Roman"/>
          <w:sz w:val="24"/>
          <w:szCs w:val="24"/>
        </w:rPr>
        <w:t xml:space="preserve">) during the 180-day investment period by clarifying that only </w:t>
      </w:r>
      <w:r w:rsidR="00D964CA"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z w:val="24"/>
          <w:szCs w:val="24"/>
        </w:rPr>
        <w:t xml:space="preserve"> gain taxable in the United States may be invested in a QOF.</w:t>
      </w:r>
    </w:p>
    <w:p w:rsidR="000F6C5B" w:rsidRDefault="000F6C5B" w:rsidP="00FA75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282" w:rsidRDefault="00307CED" w:rsidP="00BE4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 xml:space="preserve">Sales of business property </w:t>
      </w:r>
      <w:r w:rsidR="00BE4282" w:rsidRPr="00D964CA">
        <w:rPr>
          <w:rFonts w:ascii="Times New Roman" w:hAnsi="Times New Roman" w:cs="Times New Roman"/>
          <w:i/>
          <w:sz w:val="24"/>
          <w:szCs w:val="24"/>
        </w:rPr>
        <w:t>—</w:t>
      </w:r>
      <w:r w:rsidRPr="00D964CA">
        <w:rPr>
          <w:rFonts w:ascii="Times New Roman" w:hAnsi="Times New Roman" w:cs="Times New Roman"/>
          <w:sz w:val="24"/>
          <w:szCs w:val="24"/>
        </w:rPr>
        <w:t xml:space="preserve"> The proposed regulations only permitted </w:t>
      </w:r>
      <w:r w:rsidR="0040566A">
        <w:rPr>
          <w:rFonts w:ascii="Times New Roman" w:hAnsi="Times New Roman" w:cs="Times New Roman"/>
          <w:sz w:val="24"/>
          <w:szCs w:val="24"/>
        </w:rPr>
        <w:t xml:space="preserve">the amount of an </w:t>
      </w:r>
      <w:r w:rsidR="000F6C5B">
        <w:rPr>
          <w:rFonts w:ascii="Times New Roman" w:hAnsi="Times New Roman" w:cs="Times New Roman"/>
          <w:sz w:val="24"/>
          <w:szCs w:val="24"/>
        </w:rPr>
        <w:t>investor</w:t>
      </w:r>
      <w:r w:rsidR="0040566A">
        <w:rPr>
          <w:rFonts w:ascii="Times New Roman" w:hAnsi="Times New Roman" w:cs="Times New Roman"/>
          <w:sz w:val="24"/>
          <w:szCs w:val="24"/>
        </w:rPr>
        <w:t>’</w:t>
      </w:r>
      <w:r w:rsidR="000F6C5B">
        <w:rPr>
          <w:rFonts w:ascii="Times New Roman" w:hAnsi="Times New Roman" w:cs="Times New Roman"/>
          <w:sz w:val="24"/>
          <w:szCs w:val="24"/>
        </w:rPr>
        <w:t>s</w:t>
      </w:r>
      <w:r w:rsidR="000F6C5B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gain</w:t>
      </w:r>
      <w:r w:rsidR="000F6C5B">
        <w:rPr>
          <w:rFonts w:ascii="Times New Roman" w:hAnsi="Times New Roman" w:cs="Times New Roman"/>
          <w:sz w:val="24"/>
          <w:szCs w:val="24"/>
        </w:rPr>
        <w:t xml:space="preserve">s </w:t>
      </w:r>
      <w:r w:rsidRPr="00D964CA">
        <w:rPr>
          <w:rFonts w:ascii="Times New Roman" w:hAnsi="Times New Roman" w:cs="Times New Roman"/>
          <w:sz w:val="24"/>
          <w:szCs w:val="24"/>
        </w:rPr>
        <w:t xml:space="preserve">from the sale of business property </w:t>
      </w:r>
      <w:r w:rsidR="0040566A">
        <w:rPr>
          <w:rFonts w:ascii="Times New Roman" w:hAnsi="Times New Roman" w:cs="Times New Roman"/>
          <w:sz w:val="24"/>
          <w:szCs w:val="24"/>
        </w:rPr>
        <w:t>that were greater than</w:t>
      </w:r>
      <w:r w:rsidR="000F6C5B">
        <w:rPr>
          <w:rFonts w:ascii="Times New Roman" w:hAnsi="Times New Roman" w:cs="Times New Roman"/>
          <w:sz w:val="24"/>
          <w:szCs w:val="24"/>
        </w:rPr>
        <w:t xml:space="preserve"> </w:t>
      </w:r>
      <w:r w:rsidR="0040566A">
        <w:rPr>
          <w:rFonts w:ascii="Times New Roman" w:hAnsi="Times New Roman" w:cs="Times New Roman"/>
          <w:sz w:val="24"/>
          <w:szCs w:val="24"/>
        </w:rPr>
        <w:t xml:space="preserve">the investor’s </w:t>
      </w:r>
      <w:r w:rsidR="000F6C5B">
        <w:rPr>
          <w:rFonts w:ascii="Times New Roman" w:hAnsi="Times New Roman" w:cs="Times New Roman"/>
          <w:sz w:val="24"/>
          <w:szCs w:val="24"/>
        </w:rPr>
        <w:t xml:space="preserve">losses from </w:t>
      </w:r>
      <w:r w:rsidR="0040566A">
        <w:rPr>
          <w:rFonts w:ascii="Times New Roman" w:hAnsi="Times New Roman" w:cs="Times New Roman"/>
          <w:sz w:val="24"/>
          <w:szCs w:val="24"/>
        </w:rPr>
        <w:t xml:space="preserve">such </w:t>
      </w:r>
      <w:r w:rsidR="000F6C5B">
        <w:rPr>
          <w:rFonts w:ascii="Times New Roman" w:hAnsi="Times New Roman" w:cs="Times New Roman"/>
          <w:sz w:val="24"/>
          <w:szCs w:val="24"/>
        </w:rPr>
        <w:t xml:space="preserve">sales </w:t>
      </w:r>
      <w:r w:rsidR="0040566A">
        <w:rPr>
          <w:rFonts w:ascii="Times New Roman" w:hAnsi="Times New Roman" w:cs="Times New Roman"/>
          <w:sz w:val="24"/>
          <w:szCs w:val="24"/>
        </w:rPr>
        <w:t>to be invested in QOFs</w:t>
      </w:r>
      <w:r w:rsidR="00DC15E2">
        <w:rPr>
          <w:rFonts w:ascii="Times New Roman" w:hAnsi="Times New Roman" w:cs="Times New Roman"/>
          <w:sz w:val="24"/>
          <w:szCs w:val="24"/>
        </w:rPr>
        <w:t>,</w:t>
      </w:r>
      <w:r w:rsidR="000F6C5B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 xml:space="preserve">and </w:t>
      </w:r>
      <w:r w:rsidR="00414594">
        <w:rPr>
          <w:rFonts w:ascii="Times New Roman" w:hAnsi="Times New Roman" w:cs="Times New Roman"/>
          <w:sz w:val="24"/>
          <w:szCs w:val="24"/>
        </w:rPr>
        <w:t>required</w:t>
      </w:r>
      <w:r w:rsidR="00414594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the 180-day investment period to begin on the last day of the investor’s tax year. The final regulation</w:t>
      </w:r>
      <w:r w:rsidR="00B63617" w:rsidRPr="00D964CA">
        <w:rPr>
          <w:rFonts w:ascii="Times New Roman" w:hAnsi="Times New Roman" w:cs="Times New Roman"/>
          <w:sz w:val="24"/>
          <w:szCs w:val="24"/>
        </w:rPr>
        <w:t>s</w:t>
      </w:r>
      <w:r w:rsidRPr="00D964CA">
        <w:rPr>
          <w:rFonts w:ascii="Times New Roman" w:hAnsi="Times New Roman" w:cs="Times New Roman"/>
          <w:sz w:val="24"/>
          <w:szCs w:val="24"/>
        </w:rPr>
        <w:t xml:space="preserve"> allow a taxpayer to invest the entire amount of gain</w:t>
      </w:r>
      <w:r w:rsidR="0040566A">
        <w:rPr>
          <w:rFonts w:ascii="Times New Roman" w:hAnsi="Times New Roman" w:cs="Times New Roman"/>
          <w:sz w:val="24"/>
          <w:szCs w:val="24"/>
        </w:rPr>
        <w:t xml:space="preserve">s from such sales </w:t>
      </w:r>
      <w:r w:rsidR="00414594">
        <w:rPr>
          <w:rFonts w:ascii="Times New Roman" w:hAnsi="Times New Roman" w:cs="Times New Roman"/>
          <w:sz w:val="24"/>
          <w:szCs w:val="24"/>
        </w:rPr>
        <w:t>without regard to losses</w:t>
      </w:r>
      <w:r w:rsidRPr="00D964CA">
        <w:rPr>
          <w:rFonts w:ascii="Times New Roman" w:hAnsi="Times New Roman" w:cs="Times New Roman"/>
          <w:sz w:val="24"/>
          <w:szCs w:val="24"/>
        </w:rPr>
        <w:t xml:space="preserve"> and </w:t>
      </w:r>
      <w:r w:rsidR="00D61C3B">
        <w:rPr>
          <w:rFonts w:ascii="Times New Roman" w:hAnsi="Times New Roman" w:cs="Times New Roman"/>
          <w:sz w:val="24"/>
          <w:szCs w:val="24"/>
        </w:rPr>
        <w:t>change</w:t>
      </w:r>
      <w:r w:rsidR="00D61C3B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BE4282" w:rsidRPr="00D964CA">
        <w:rPr>
          <w:rFonts w:ascii="Times New Roman" w:hAnsi="Times New Roman" w:cs="Times New Roman"/>
          <w:sz w:val="24"/>
          <w:szCs w:val="24"/>
        </w:rPr>
        <w:t xml:space="preserve">the </w:t>
      </w:r>
      <w:r w:rsidR="00D61C3B">
        <w:rPr>
          <w:rFonts w:ascii="Times New Roman" w:hAnsi="Times New Roman" w:cs="Times New Roman"/>
          <w:sz w:val="24"/>
          <w:szCs w:val="24"/>
        </w:rPr>
        <w:t xml:space="preserve">beginning of the </w:t>
      </w:r>
      <w:r w:rsidR="00BE4282" w:rsidRPr="00D964CA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D61C3B">
        <w:rPr>
          <w:rFonts w:ascii="Times New Roman" w:hAnsi="Times New Roman" w:cs="Times New Roman"/>
          <w:sz w:val="24"/>
          <w:szCs w:val="24"/>
        </w:rPr>
        <w:t xml:space="preserve">period </w:t>
      </w:r>
      <w:r w:rsidR="00BE4282" w:rsidRPr="00D964CA">
        <w:rPr>
          <w:rFonts w:ascii="Times New Roman" w:hAnsi="Times New Roman" w:cs="Times New Roman"/>
          <w:sz w:val="24"/>
          <w:szCs w:val="24"/>
        </w:rPr>
        <w:t xml:space="preserve">from the end of the year to the date of </w:t>
      </w:r>
      <w:r w:rsidR="00D61C3B">
        <w:rPr>
          <w:rFonts w:ascii="Times New Roman" w:hAnsi="Times New Roman" w:cs="Times New Roman"/>
          <w:sz w:val="24"/>
          <w:szCs w:val="24"/>
        </w:rPr>
        <w:t xml:space="preserve">the sale of </w:t>
      </w:r>
      <w:r w:rsidR="00414594">
        <w:rPr>
          <w:rFonts w:ascii="Times New Roman" w:hAnsi="Times New Roman" w:cs="Times New Roman"/>
          <w:sz w:val="24"/>
          <w:szCs w:val="24"/>
        </w:rPr>
        <w:t>each</w:t>
      </w:r>
      <w:r w:rsidR="00D61C3B">
        <w:rPr>
          <w:rFonts w:ascii="Times New Roman" w:hAnsi="Times New Roman" w:cs="Times New Roman"/>
          <w:sz w:val="24"/>
          <w:szCs w:val="24"/>
        </w:rPr>
        <w:t xml:space="preserve"> </w:t>
      </w:r>
      <w:r w:rsidR="00BE4282" w:rsidRPr="00D964CA">
        <w:rPr>
          <w:rFonts w:ascii="Times New Roman" w:hAnsi="Times New Roman" w:cs="Times New Roman"/>
          <w:sz w:val="24"/>
          <w:szCs w:val="24"/>
        </w:rPr>
        <w:t>asset</w:t>
      </w:r>
      <w:r w:rsidRPr="00D964CA">
        <w:rPr>
          <w:rFonts w:ascii="Times New Roman" w:hAnsi="Times New Roman" w:cs="Times New Roman"/>
          <w:sz w:val="24"/>
          <w:szCs w:val="24"/>
        </w:rPr>
        <w:t>.</w:t>
      </w:r>
    </w:p>
    <w:p w:rsidR="00D61C3B" w:rsidRPr="00D964CA" w:rsidRDefault="00D61C3B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282" w:rsidRDefault="006B0639" w:rsidP="00571F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Partnership gain</w:t>
      </w:r>
      <w:r w:rsidR="00571F7E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 P</w:t>
      </w:r>
      <w:r w:rsidR="00BE4282" w:rsidRPr="00D964CA">
        <w:rPr>
          <w:rFonts w:ascii="Times New Roman" w:hAnsi="Times New Roman" w:cs="Times New Roman"/>
          <w:sz w:val="24"/>
          <w:szCs w:val="24"/>
        </w:rPr>
        <w:t xml:space="preserve">artners in a partnership, shareholders of an S corporation, and beneficiaries of estates and non-grantor trusts have the option to start the 180-day </w:t>
      </w:r>
      <w:r w:rsidR="00D964CA">
        <w:rPr>
          <w:rFonts w:ascii="Times New Roman" w:hAnsi="Times New Roman" w:cs="Times New Roman"/>
          <w:sz w:val="24"/>
          <w:szCs w:val="24"/>
        </w:rPr>
        <w:t xml:space="preserve">investment period </w:t>
      </w:r>
      <w:r w:rsidR="00BE4282" w:rsidRPr="00D964CA">
        <w:rPr>
          <w:rFonts w:ascii="Times New Roman" w:hAnsi="Times New Roman" w:cs="Times New Roman"/>
          <w:sz w:val="24"/>
          <w:szCs w:val="24"/>
        </w:rPr>
        <w:t>on the due date of the entity’s tax return, not including any extensions</w:t>
      </w:r>
      <w:r w:rsidR="00D61C3B">
        <w:rPr>
          <w:rFonts w:ascii="Times New Roman" w:hAnsi="Times New Roman" w:cs="Times New Roman"/>
          <w:sz w:val="24"/>
          <w:szCs w:val="24"/>
        </w:rPr>
        <w:t>.</w:t>
      </w:r>
      <w:r w:rsidR="00571F7E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40566A">
        <w:rPr>
          <w:rFonts w:ascii="Times New Roman" w:hAnsi="Times New Roman" w:cs="Times New Roman"/>
          <w:sz w:val="24"/>
          <w:szCs w:val="24"/>
        </w:rPr>
        <w:t xml:space="preserve"> </w:t>
      </w:r>
      <w:r w:rsidR="00D61C3B">
        <w:rPr>
          <w:rFonts w:ascii="Times New Roman" w:hAnsi="Times New Roman" w:cs="Times New Roman"/>
          <w:sz w:val="24"/>
          <w:szCs w:val="24"/>
        </w:rPr>
        <w:t xml:space="preserve">This change </w:t>
      </w:r>
      <w:r w:rsidRPr="00D964CA">
        <w:rPr>
          <w:rFonts w:ascii="Times New Roman" w:hAnsi="Times New Roman" w:cs="Times New Roman"/>
          <w:sz w:val="24"/>
          <w:szCs w:val="24"/>
        </w:rPr>
        <w:t>a</w:t>
      </w:r>
      <w:r w:rsidR="00D61C3B">
        <w:rPr>
          <w:rFonts w:ascii="Times New Roman" w:hAnsi="Times New Roman" w:cs="Times New Roman"/>
          <w:sz w:val="24"/>
          <w:szCs w:val="24"/>
        </w:rPr>
        <w:t>ddresses taxpayer</w:t>
      </w:r>
      <w:r w:rsidRPr="00D964CA">
        <w:rPr>
          <w:rFonts w:ascii="Times New Roman" w:hAnsi="Times New Roman" w:cs="Times New Roman"/>
          <w:sz w:val="24"/>
          <w:szCs w:val="24"/>
        </w:rPr>
        <w:t xml:space="preserve"> concerns about </w:t>
      </w:r>
      <w:r w:rsidR="00176AE1">
        <w:rPr>
          <w:rFonts w:ascii="Times New Roman" w:hAnsi="Times New Roman" w:cs="Times New Roman"/>
          <w:sz w:val="24"/>
          <w:szCs w:val="24"/>
        </w:rPr>
        <w:t xml:space="preserve">potentially </w:t>
      </w:r>
      <w:r w:rsidRPr="00D964CA">
        <w:rPr>
          <w:rFonts w:ascii="Times New Roman" w:hAnsi="Times New Roman" w:cs="Times New Roman"/>
          <w:sz w:val="24"/>
          <w:szCs w:val="24"/>
        </w:rPr>
        <w:t xml:space="preserve">missing investment opportunities </w:t>
      </w:r>
      <w:r w:rsidR="009224DA">
        <w:rPr>
          <w:rFonts w:ascii="Times New Roman" w:hAnsi="Times New Roman" w:cs="Times New Roman"/>
          <w:sz w:val="24"/>
          <w:szCs w:val="24"/>
        </w:rPr>
        <w:t xml:space="preserve">due to an owner of a business entity receiving </w:t>
      </w:r>
      <w:r w:rsidR="00D61C3B">
        <w:rPr>
          <w:rFonts w:ascii="Times New Roman" w:hAnsi="Times New Roman" w:cs="Times New Roman"/>
          <w:sz w:val="24"/>
          <w:szCs w:val="24"/>
        </w:rPr>
        <w:t xml:space="preserve">a </w:t>
      </w:r>
      <w:r w:rsidRPr="00D964CA">
        <w:rPr>
          <w:rFonts w:ascii="Times New Roman" w:hAnsi="Times New Roman" w:cs="Times New Roman"/>
          <w:sz w:val="24"/>
          <w:szCs w:val="24"/>
        </w:rPr>
        <w:t xml:space="preserve">late </w:t>
      </w:r>
      <w:r w:rsidR="009224DA">
        <w:rPr>
          <w:rFonts w:ascii="Times New Roman" w:hAnsi="Times New Roman" w:cs="Times New Roman"/>
          <w:sz w:val="24"/>
          <w:szCs w:val="24"/>
        </w:rPr>
        <w:t>S</w:t>
      </w:r>
      <w:r w:rsidR="0040566A">
        <w:rPr>
          <w:rFonts w:ascii="Times New Roman" w:hAnsi="Times New Roman" w:cs="Times New Roman"/>
          <w:sz w:val="24"/>
          <w:szCs w:val="24"/>
        </w:rPr>
        <w:t>chedule</w:t>
      </w:r>
      <w:r w:rsidRPr="00D964CA">
        <w:rPr>
          <w:rFonts w:ascii="Times New Roman" w:hAnsi="Times New Roman" w:cs="Times New Roman"/>
          <w:sz w:val="24"/>
          <w:szCs w:val="24"/>
        </w:rPr>
        <w:t xml:space="preserve"> K-1</w:t>
      </w:r>
      <w:r w:rsidR="009224DA">
        <w:rPr>
          <w:rFonts w:ascii="Times New Roman" w:hAnsi="Times New Roman" w:cs="Times New Roman"/>
          <w:sz w:val="24"/>
          <w:szCs w:val="24"/>
        </w:rPr>
        <w:t xml:space="preserve"> (or other form) from the entity</w:t>
      </w:r>
      <w:r w:rsidRPr="00D964CA">
        <w:rPr>
          <w:rFonts w:ascii="Times New Roman" w:hAnsi="Times New Roman" w:cs="Times New Roman"/>
          <w:sz w:val="24"/>
          <w:szCs w:val="24"/>
        </w:rPr>
        <w:t>.</w:t>
      </w:r>
    </w:p>
    <w:p w:rsidR="00D61C3B" w:rsidRPr="00D964CA" w:rsidRDefault="00D61C3B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282" w:rsidRDefault="00BE4282" w:rsidP="006B06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 xml:space="preserve">Investment of </w:t>
      </w:r>
      <w:r w:rsidR="00377460" w:rsidRPr="00D964CA">
        <w:rPr>
          <w:rFonts w:ascii="Times New Roman" w:hAnsi="Times New Roman" w:cs="Times New Roman"/>
          <w:i/>
          <w:sz w:val="24"/>
          <w:szCs w:val="24"/>
        </w:rPr>
        <w:t>Regulated Investment Company (</w:t>
      </w:r>
      <w:r w:rsidRPr="00D964CA">
        <w:rPr>
          <w:rFonts w:ascii="Times New Roman" w:hAnsi="Times New Roman" w:cs="Times New Roman"/>
          <w:i/>
          <w:sz w:val="24"/>
          <w:szCs w:val="24"/>
        </w:rPr>
        <w:t>RIC</w:t>
      </w:r>
      <w:r w:rsidR="00377460" w:rsidRPr="00D964CA">
        <w:rPr>
          <w:rFonts w:ascii="Times New Roman" w:hAnsi="Times New Roman" w:cs="Times New Roman"/>
          <w:i/>
          <w:sz w:val="24"/>
          <w:szCs w:val="24"/>
        </w:rPr>
        <w:t>)</w:t>
      </w:r>
      <w:r w:rsidRPr="00D964C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77460" w:rsidRPr="00D964CA">
        <w:rPr>
          <w:rFonts w:ascii="Times New Roman" w:hAnsi="Times New Roman" w:cs="Times New Roman"/>
          <w:i/>
          <w:sz w:val="24"/>
          <w:szCs w:val="24"/>
        </w:rPr>
        <w:t>Real Estate Investment Trust (</w:t>
      </w:r>
      <w:r w:rsidRPr="00D964CA">
        <w:rPr>
          <w:rFonts w:ascii="Times New Roman" w:hAnsi="Times New Roman" w:cs="Times New Roman"/>
          <w:i/>
          <w:sz w:val="24"/>
          <w:szCs w:val="24"/>
        </w:rPr>
        <w:t>REIT</w:t>
      </w:r>
      <w:r w:rsidR="00377460" w:rsidRPr="00D964CA">
        <w:rPr>
          <w:rFonts w:ascii="Times New Roman" w:hAnsi="Times New Roman" w:cs="Times New Roman"/>
          <w:i/>
          <w:sz w:val="24"/>
          <w:szCs w:val="24"/>
        </w:rPr>
        <w:t>)</w:t>
      </w:r>
      <w:r w:rsidRPr="00D964CA">
        <w:rPr>
          <w:rFonts w:ascii="Times New Roman" w:hAnsi="Times New Roman" w:cs="Times New Roman"/>
          <w:i/>
          <w:sz w:val="24"/>
          <w:szCs w:val="24"/>
        </w:rPr>
        <w:t xml:space="preserve"> gains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76AE1">
        <w:rPr>
          <w:rFonts w:ascii="Times New Roman" w:hAnsi="Times New Roman" w:cs="Times New Roman"/>
          <w:sz w:val="24"/>
          <w:szCs w:val="24"/>
        </w:rPr>
        <w:t>The rules c</w:t>
      </w:r>
      <w:r w:rsidRPr="00D964CA">
        <w:rPr>
          <w:rFonts w:ascii="Times New Roman" w:hAnsi="Times New Roman" w:cs="Times New Roman"/>
          <w:sz w:val="24"/>
          <w:szCs w:val="24"/>
        </w:rPr>
        <w:t>larif</w:t>
      </w:r>
      <w:r w:rsidR="00176AE1">
        <w:rPr>
          <w:rFonts w:ascii="Times New Roman" w:hAnsi="Times New Roman" w:cs="Times New Roman"/>
          <w:sz w:val="24"/>
          <w:szCs w:val="24"/>
        </w:rPr>
        <w:t>y</w:t>
      </w:r>
      <w:r w:rsidRPr="00D964CA">
        <w:rPr>
          <w:rFonts w:ascii="Times New Roman" w:hAnsi="Times New Roman" w:cs="Times New Roman"/>
          <w:sz w:val="24"/>
          <w:szCs w:val="24"/>
        </w:rPr>
        <w:t xml:space="preserve"> that the 180-day </w:t>
      </w:r>
      <w:r w:rsidR="00D964CA">
        <w:rPr>
          <w:rFonts w:ascii="Times New Roman" w:hAnsi="Times New Roman" w:cs="Times New Roman"/>
          <w:sz w:val="24"/>
          <w:szCs w:val="24"/>
        </w:rPr>
        <w:t>investment period</w:t>
      </w:r>
      <w:r w:rsidR="00D964CA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 xml:space="preserve">generally starts at the close of the shareholder’s tax </w:t>
      </w:r>
      <w:r w:rsidR="00DC15E2" w:rsidRPr="00D964CA">
        <w:rPr>
          <w:rFonts w:ascii="Times New Roman" w:hAnsi="Times New Roman" w:cs="Times New Roman"/>
          <w:sz w:val="24"/>
          <w:szCs w:val="24"/>
        </w:rPr>
        <w:t>year</w:t>
      </w:r>
      <w:r w:rsidR="00DC15E2">
        <w:rPr>
          <w:rFonts w:ascii="Times New Roman" w:hAnsi="Times New Roman" w:cs="Times New Roman"/>
          <w:sz w:val="24"/>
          <w:szCs w:val="24"/>
        </w:rPr>
        <w:t xml:space="preserve"> </w:t>
      </w:r>
      <w:r w:rsidR="00DC15E2" w:rsidRPr="00D964CA">
        <w:rPr>
          <w:rFonts w:ascii="Times New Roman" w:hAnsi="Times New Roman" w:cs="Times New Roman"/>
          <w:sz w:val="24"/>
          <w:szCs w:val="24"/>
        </w:rPr>
        <w:t>and</w:t>
      </w:r>
      <w:r w:rsidRPr="00D964CA">
        <w:rPr>
          <w:rFonts w:ascii="Times New Roman" w:hAnsi="Times New Roman" w:cs="Times New Roman"/>
          <w:sz w:val="24"/>
          <w:szCs w:val="24"/>
        </w:rPr>
        <w:t xml:space="preserve"> provides that gains can</w:t>
      </w:r>
      <w:r w:rsidR="00BC6CF3" w:rsidRPr="00D964CA">
        <w:rPr>
          <w:rFonts w:ascii="Times New Roman" w:hAnsi="Times New Roman" w:cs="Times New Roman"/>
          <w:sz w:val="24"/>
          <w:szCs w:val="24"/>
        </w:rPr>
        <w:t>, at the shareholder’s option,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also be invested </w:t>
      </w:r>
      <w:r w:rsidR="00C06496" w:rsidRPr="00D964CA">
        <w:rPr>
          <w:rFonts w:ascii="Times New Roman" w:hAnsi="Times New Roman" w:cs="Times New Roman"/>
          <w:sz w:val="24"/>
          <w:szCs w:val="24"/>
        </w:rPr>
        <w:t xml:space="preserve">based on the 180-day </w:t>
      </w:r>
      <w:r w:rsidR="00D964CA">
        <w:rPr>
          <w:rFonts w:ascii="Times New Roman" w:hAnsi="Times New Roman" w:cs="Times New Roman"/>
          <w:sz w:val="24"/>
          <w:szCs w:val="24"/>
        </w:rPr>
        <w:t>investment period</w:t>
      </w:r>
      <w:r w:rsidR="00D964CA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C06496" w:rsidRPr="00D964CA">
        <w:rPr>
          <w:rFonts w:ascii="Times New Roman" w:hAnsi="Times New Roman" w:cs="Times New Roman"/>
          <w:sz w:val="24"/>
          <w:szCs w:val="24"/>
        </w:rPr>
        <w:t xml:space="preserve">starting 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when </w:t>
      </w:r>
      <w:r w:rsidR="00C06496" w:rsidRPr="00D964CA">
        <w:rPr>
          <w:rFonts w:ascii="Times New Roman" w:hAnsi="Times New Roman" w:cs="Times New Roman"/>
          <w:sz w:val="24"/>
          <w:szCs w:val="24"/>
        </w:rPr>
        <w:t xml:space="preserve">the shareholder receives </w:t>
      </w:r>
      <w:r w:rsidR="00BC6CF3" w:rsidRPr="00D964CA">
        <w:rPr>
          <w:rFonts w:ascii="Times New Roman" w:hAnsi="Times New Roman" w:cs="Times New Roman"/>
          <w:sz w:val="24"/>
          <w:szCs w:val="24"/>
        </w:rPr>
        <w:t>capital gains dividends from a RIC or REIT</w:t>
      </w:r>
      <w:r w:rsidR="006B0639" w:rsidRPr="00D964CA">
        <w:rPr>
          <w:rFonts w:ascii="Times New Roman" w:hAnsi="Times New Roman" w:cs="Times New Roman"/>
          <w:sz w:val="24"/>
          <w:szCs w:val="24"/>
        </w:rPr>
        <w:t>.</w:t>
      </w:r>
    </w:p>
    <w:p w:rsidR="00176AE1" w:rsidRPr="00D964CA" w:rsidRDefault="00176AE1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282" w:rsidRDefault="00BE4282" w:rsidP="006B06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Installment sales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76AE1">
        <w:rPr>
          <w:rFonts w:ascii="Times New Roman" w:hAnsi="Times New Roman" w:cs="Times New Roman"/>
          <w:sz w:val="24"/>
          <w:szCs w:val="24"/>
        </w:rPr>
        <w:t>The rules c</w:t>
      </w:r>
      <w:r w:rsidRPr="00D964CA">
        <w:rPr>
          <w:rFonts w:ascii="Times New Roman" w:hAnsi="Times New Roman" w:cs="Times New Roman"/>
          <w:sz w:val="24"/>
          <w:szCs w:val="24"/>
        </w:rPr>
        <w:t>larif</w:t>
      </w:r>
      <w:r w:rsidR="00176AE1">
        <w:rPr>
          <w:rFonts w:ascii="Times New Roman" w:hAnsi="Times New Roman" w:cs="Times New Roman"/>
          <w:sz w:val="24"/>
          <w:szCs w:val="24"/>
        </w:rPr>
        <w:t>y</w:t>
      </w:r>
      <w:r w:rsidRPr="00D964CA">
        <w:rPr>
          <w:rFonts w:ascii="Times New Roman" w:hAnsi="Times New Roman" w:cs="Times New Roman"/>
          <w:sz w:val="24"/>
          <w:szCs w:val="24"/>
        </w:rPr>
        <w:t xml:space="preserve"> that gains from installment sales are able to be invested when received, </w:t>
      </w:r>
      <w:r w:rsidR="003B1947">
        <w:rPr>
          <w:rFonts w:ascii="Times New Roman" w:hAnsi="Times New Roman" w:cs="Times New Roman"/>
          <w:sz w:val="24"/>
          <w:szCs w:val="24"/>
        </w:rPr>
        <w:t>even if the initial installment payment was made before 2018</w:t>
      </w:r>
      <w:r w:rsidR="006B0639" w:rsidRPr="00D964CA">
        <w:rPr>
          <w:rFonts w:ascii="Times New Roman" w:hAnsi="Times New Roman" w:cs="Times New Roman"/>
          <w:sz w:val="24"/>
          <w:szCs w:val="24"/>
        </w:rPr>
        <w:t>.</w:t>
      </w:r>
    </w:p>
    <w:p w:rsidR="00FD36C9" w:rsidRPr="00BE7005" w:rsidRDefault="00BE4282" w:rsidP="00BE7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Nonresident investment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76AE1">
        <w:rPr>
          <w:rFonts w:ascii="Times New Roman" w:hAnsi="Times New Roman" w:cs="Times New Roman"/>
          <w:sz w:val="24"/>
          <w:szCs w:val="24"/>
        </w:rPr>
        <w:t>The final regulations p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rovide </w:t>
      </w:r>
      <w:r w:rsidRPr="00D964CA">
        <w:rPr>
          <w:rFonts w:ascii="Times New Roman" w:hAnsi="Times New Roman" w:cs="Times New Roman"/>
          <w:sz w:val="24"/>
          <w:szCs w:val="24"/>
        </w:rPr>
        <w:t xml:space="preserve">that nonresident alien individuals and foreign corporations </w:t>
      </w:r>
      <w:r w:rsidR="00176AE1">
        <w:rPr>
          <w:rFonts w:ascii="Times New Roman" w:hAnsi="Times New Roman" w:cs="Times New Roman"/>
          <w:sz w:val="24"/>
          <w:szCs w:val="24"/>
        </w:rPr>
        <w:t xml:space="preserve">may make Opportunity Zone investments </w:t>
      </w:r>
      <w:r w:rsidRPr="00D964CA">
        <w:rPr>
          <w:rFonts w:ascii="Times New Roman" w:hAnsi="Times New Roman" w:cs="Times New Roman"/>
          <w:sz w:val="24"/>
          <w:szCs w:val="24"/>
        </w:rPr>
        <w:t>with capital gain</w:t>
      </w:r>
      <w:r w:rsidR="00176AE1">
        <w:rPr>
          <w:rFonts w:ascii="Times New Roman" w:hAnsi="Times New Roman" w:cs="Times New Roman"/>
          <w:sz w:val="24"/>
          <w:szCs w:val="24"/>
        </w:rPr>
        <w:t>s</w:t>
      </w:r>
      <w:r w:rsidRPr="00D964CA">
        <w:rPr>
          <w:rFonts w:ascii="Times New Roman" w:hAnsi="Times New Roman" w:cs="Times New Roman"/>
          <w:sz w:val="24"/>
          <w:szCs w:val="24"/>
        </w:rPr>
        <w:t xml:space="preserve"> that </w:t>
      </w:r>
      <w:r w:rsidR="00176AE1">
        <w:rPr>
          <w:rFonts w:ascii="Times New Roman" w:hAnsi="Times New Roman" w:cs="Times New Roman"/>
          <w:sz w:val="24"/>
          <w:szCs w:val="24"/>
        </w:rPr>
        <w:t>are</w:t>
      </w:r>
      <w:r w:rsidRPr="00D964CA">
        <w:rPr>
          <w:rFonts w:ascii="Times New Roman" w:hAnsi="Times New Roman" w:cs="Times New Roman"/>
          <w:sz w:val="24"/>
          <w:szCs w:val="24"/>
        </w:rPr>
        <w:t xml:space="preserve"> effectively connected </w:t>
      </w:r>
      <w:r w:rsidR="00176AE1">
        <w:rPr>
          <w:rFonts w:ascii="Times New Roman" w:hAnsi="Times New Roman" w:cs="Times New Roman"/>
          <w:sz w:val="24"/>
          <w:szCs w:val="24"/>
        </w:rPr>
        <w:t>to</w:t>
      </w:r>
      <w:r w:rsidRPr="00D964CA">
        <w:rPr>
          <w:rFonts w:ascii="Times New Roman" w:hAnsi="Times New Roman" w:cs="Times New Roman"/>
          <w:sz w:val="24"/>
          <w:szCs w:val="24"/>
        </w:rPr>
        <w:t xml:space="preserve"> a U</w:t>
      </w:r>
      <w:r w:rsidR="00751386">
        <w:rPr>
          <w:rFonts w:ascii="Times New Roman" w:hAnsi="Times New Roman" w:cs="Times New Roman"/>
          <w:sz w:val="24"/>
          <w:szCs w:val="24"/>
        </w:rPr>
        <w:t>.</w:t>
      </w:r>
      <w:r w:rsidRPr="00D964CA">
        <w:rPr>
          <w:rFonts w:ascii="Times New Roman" w:hAnsi="Times New Roman" w:cs="Times New Roman"/>
          <w:sz w:val="24"/>
          <w:szCs w:val="24"/>
        </w:rPr>
        <w:t>S</w:t>
      </w:r>
      <w:r w:rsidR="00751386">
        <w:rPr>
          <w:rFonts w:ascii="Times New Roman" w:hAnsi="Times New Roman" w:cs="Times New Roman"/>
          <w:sz w:val="24"/>
          <w:szCs w:val="24"/>
        </w:rPr>
        <w:t>.</w:t>
      </w:r>
      <w:r w:rsidRPr="00D964CA">
        <w:rPr>
          <w:rFonts w:ascii="Times New Roman" w:hAnsi="Times New Roman" w:cs="Times New Roman"/>
          <w:sz w:val="24"/>
          <w:szCs w:val="24"/>
        </w:rPr>
        <w:t xml:space="preserve"> trade or business</w:t>
      </w:r>
      <w:r w:rsidR="006B0639" w:rsidRPr="00D964CA">
        <w:rPr>
          <w:rFonts w:ascii="Times New Roman" w:hAnsi="Times New Roman" w:cs="Times New Roman"/>
          <w:sz w:val="24"/>
          <w:szCs w:val="24"/>
        </w:rPr>
        <w:t>.</w:t>
      </w:r>
      <w:r w:rsidR="00BC6CF3" w:rsidRPr="00D964CA">
        <w:rPr>
          <w:rFonts w:ascii="Times New Roman" w:hAnsi="Times New Roman" w:cs="Times New Roman"/>
          <w:sz w:val="24"/>
          <w:szCs w:val="24"/>
        </w:rPr>
        <w:t xml:space="preserve">  This includes </w:t>
      </w:r>
      <w:r w:rsidR="00176AE1">
        <w:rPr>
          <w:rFonts w:ascii="Times New Roman" w:hAnsi="Times New Roman" w:cs="Times New Roman"/>
          <w:sz w:val="24"/>
          <w:szCs w:val="24"/>
        </w:rPr>
        <w:t xml:space="preserve">capital </w:t>
      </w:r>
      <w:r w:rsidR="00BC6CF3" w:rsidRPr="00D964CA">
        <w:rPr>
          <w:rFonts w:ascii="Times New Roman" w:hAnsi="Times New Roman" w:cs="Times New Roman"/>
          <w:sz w:val="24"/>
          <w:szCs w:val="24"/>
        </w:rPr>
        <w:t>gain</w:t>
      </w:r>
      <w:r w:rsidR="00176AE1">
        <w:rPr>
          <w:rFonts w:ascii="Times New Roman" w:hAnsi="Times New Roman" w:cs="Times New Roman"/>
          <w:sz w:val="24"/>
          <w:szCs w:val="24"/>
        </w:rPr>
        <w:t>s</w:t>
      </w:r>
      <w:r w:rsidR="00BC6CF3" w:rsidRPr="00D964CA">
        <w:rPr>
          <w:rFonts w:ascii="Times New Roman" w:hAnsi="Times New Roman" w:cs="Times New Roman"/>
          <w:sz w:val="24"/>
          <w:szCs w:val="24"/>
        </w:rPr>
        <w:t xml:space="preserve"> on real estate assets taxed to nonresident alien individuals and foreign corporations under the F</w:t>
      </w:r>
      <w:r w:rsidR="00FA7538">
        <w:rPr>
          <w:rFonts w:ascii="Times New Roman" w:hAnsi="Times New Roman" w:cs="Times New Roman"/>
          <w:sz w:val="24"/>
          <w:szCs w:val="24"/>
        </w:rPr>
        <w:t xml:space="preserve">oreign </w:t>
      </w:r>
      <w:r w:rsidR="00BC6CF3" w:rsidRPr="00D964CA">
        <w:rPr>
          <w:rFonts w:ascii="Times New Roman" w:hAnsi="Times New Roman" w:cs="Times New Roman"/>
          <w:sz w:val="24"/>
          <w:szCs w:val="24"/>
        </w:rPr>
        <w:t>I</w:t>
      </w:r>
      <w:r w:rsidR="00FA7538">
        <w:rPr>
          <w:rFonts w:ascii="Times New Roman" w:hAnsi="Times New Roman" w:cs="Times New Roman"/>
          <w:sz w:val="24"/>
          <w:szCs w:val="24"/>
        </w:rPr>
        <w:t xml:space="preserve">nvestment in </w:t>
      </w:r>
      <w:r w:rsidR="00BC6CF3" w:rsidRPr="00D964CA">
        <w:rPr>
          <w:rFonts w:ascii="Times New Roman" w:hAnsi="Times New Roman" w:cs="Times New Roman"/>
          <w:sz w:val="24"/>
          <w:szCs w:val="24"/>
        </w:rPr>
        <w:t>R</w:t>
      </w:r>
      <w:r w:rsidR="00FA7538">
        <w:rPr>
          <w:rFonts w:ascii="Times New Roman" w:hAnsi="Times New Roman" w:cs="Times New Roman"/>
          <w:sz w:val="24"/>
          <w:szCs w:val="24"/>
        </w:rPr>
        <w:t xml:space="preserve">eal </w:t>
      </w:r>
      <w:r w:rsidR="00BC6CF3" w:rsidRPr="00D964CA">
        <w:rPr>
          <w:rFonts w:ascii="Times New Roman" w:hAnsi="Times New Roman" w:cs="Times New Roman"/>
          <w:sz w:val="24"/>
          <w:szCs w:val="24"/>
        </w:rPr>
        <w:t>P</w:t>
      </w:r>
      <w:r w:rsidR="00FA7538">
        <w:rPr>
          <w:rFonts w:ascii="Times New Roman" w:hAnsi="Times New Roman" w:cs="Times New Roman"/>
          <w:sz w:val="24"/>
          <w:szCs w:val="24"/>
        </w:rPr>
        <w:t xml:space="preserve">roperty </w:t>
      </w:r>
      <w:r w:rsidR="00BC6CF3" w:rsidRPr="00D964CA">
        <w:rPr>
          <w:rFonts w:ascii="Times New Roman" w:hAnsi="Times New Roman" w:cs="Times New Roman"/>
          <w:sz w:val="24"/>
          <w:szCs w:val="24"/>
        </w:rPr>
        <w:t>T</w:t>
      </w:r>
      <w:r w:rsidR="00FA7538">
        <w:rPr>
          <w:rFonts w:ascii="Times New Roman" w:hAnsi="Times New Roman" w:cs="Times New Roman"/>
          <w:sz w:val="24"/>
          <w:szCs w:val="24"/>
        </w:rPr>
        <w:t xml:space="preserve">ax </w:t>
      </w:r>
      <w:r w:rsidR="00BC6CF3" w:rsidRPr="00D964CA">
        <w:rPr>
          <w:rFonts w:ascii="Times New Roman" w:hAnsi="Times New Roman" w:cs="Times New Roman"/>
          <w:sz w:val="24"/>
          <w:szCs w:val="24"/>
        </w:rPr>
        <w:t>A</w:t>
      </w:r>
      <w:r w:rsidR="00FA7538">
        <w:rPr>
          <w:rFonts w:ascii="Times New Roman" w:hAnsi="Times New Roman" w:cs="Times New Roman"/>
          <w:sz w:val="24"/>
          <w:szCs w:val="24"/>
        </w:rPr>
        <w:t>ct</w:t>
      </w:r>
      <w:r w:rsidR="00BC6CF3" w:rsidRPr="00D964CA">
        <w:rPr>
          <w:rFonts w:ascii="Times New Roman" w:hAnsi="Times New Roman" w:cs="Times New Roman"/>
          <w:sz w:val="24"/>
          <w:szCs w:val="24"/>
        </w:rPr>
        <w:t xml:space="preserve"> rules.</w:t>
      </w:r>
    </w:p>
    <w:p w:rsidR="00BE4282" w:rsidRPr="00D964CA" w:rsidRDefault="00BE4282">
      <w:pPr>
        <w:rPr>
          <w:rFonts w:ascii="Times New Roman" w:hAnsi="Times New Roman" w:cs="Times New Roman"/>
          <w:b/>
          <w:sz w:val="24"/>
          <w:szCs w:val="24"/>
        </w:rPr>
      </w:pPr>
      <w:r w:rsidRPr="00D964CA">
        <w:rPr>
          <w:rFonts w:ascii="Times New Roman" w:hAnsi="Times New Roman" w:cs="Times New Roman"/>
          <w:b/>
          <w:sz w:val="24"/>
          <w:szCs w:val="24"/>
        </w:rPr>
        <w:t>When may gain</w:t>
      </w:r>
      <w:r w:rsidR="00176AE1">
        <w:rPr>
          <w:rFonts w:ascii="Times New Roman" w:hAnsi="Times New Roman" w:cs="Times New Roman"/>
          <w:b/>
          <w:sz w:val="24"/>
          <w:szCs w:val="24"/>
        </w:rPr>
        <w:t>s</w:t>
      </w:r>
      <w:r w:rsidRPr="00D964CA">
        <w:rPr>
          <w:rFonts w:ascii="Times New Roman" w:hAnsi="Times New Roman" w:cs="Times New Roman"/>
          <w:b/>
          <w:sz w:val="24"/>
          <w:szCs w:val="24"/>
        </w:rPr>
        <w:t xml:space="preserve"> be excluded from tax after </w:t>
      </w:r>
      <w:r w:rsidR="00B66A33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D92C83">
        <w:rPr>
          <w:rFonts w:ascii="Times New Roman" w:hAnsi="Times New Roman" w:cs="Times New Roman"/>
          <w:b/>
          <w:sz w:val="24"/>
          <w:szCs w:val="24"/>
        </w:rPr>
        <w:t xml:space="preserve">investment </w:t>
      </w:r>
      <w:r w:rsidR="00B66A33">
        <w:rPr>
          <w:rFonts w:ascii="Times New Roman" w:hAnsi="Times New Roman" w:cs="Times New Roman"/>
          <w:b/>
          <w:sz w:val="24"/>
          <w:szCs w:val="24"/>
        </w:rPr>
        <w:t>is</w:t>
      </w:r>
      <w:r w:rsidR="00D92C83">
        <w:rPr>
          <w:rFonts w:ascii="Times New Roman" w:hAnsi="Times New Roman" w:cs="Times New Roman"/>
          <w:b/>
          <w:sz w:val="24"/>
          <w:szCs w:val="24"/>
        </w:rPr>
        <w:t xml:space="preserve"> held for </w:t>
      </w:r>
      <w:r w:rsidRPr="00D964CA">
        <w:rPr>
          <w:rFonts w:ascii="Times New Roman" w:hAnsi="Times New Roman" w:cs="Times New Roman"/>
          <w:b/>
          <w:sz w:val="24"/>
          <w:szCs w:val="24"/>
        </w:rPr>
        <w:t xml:space="preserve">a 10-year </w:t>
      </w:r>
      <w:r w:rsidR="00D92C83">
        <w:rPr>
          <w:rFonts w:ascii="Times New Roman" w:hAnsi="Times New Roman" w:cs="Times New Roman"/>
          <w:b/>
          <w:sz w:val="24"/>
          <w:szCs w:val="24"/>
        </w:rPr>
        <w:t>period</w:t>
      </w:r>
      <w:r w:rsidRPr="00D964CA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751386" w:rsidRDefault="00BE4282" w:rsidP="00BE4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 xml:space="preserve">Sales of property </w:t>
      </w:r>
      <w:r w:rsidR="00307CED" w:rsidRPr="00D964CA">
        <w:rPr>
          <w:rFonts w:ascii="Times New Roman" w:hAnsi="Times New Roman" w:cs="Times New Roman"/>
          <w:i/>
          <w:sz w:val="24"/>
          <w:szCs w:val="24"/>
        </w:rPr>
        <w:t xml:space="preserve">by a </w:t>
      </w:r>
      <w:r w:rsidR="00176AE1">
        <w:rPr>
          <w:rFonts w:ascii="Times New Roman" w:hAnsi="Times New Roman" w:cs="Times New Roman"/>
          <w:i/>
          <w:sz w:val="24"/>
          <w:szCs w:val="24"/>
        </w:rPr>
        <w:t>Qualified Opportunity Zone Business (</w:t>
      </w:r>
      <w:r w:rsidR="00307CED" w:rsidRPr="00D964CA">
        <w:rPr>
          <w:rFonts w:ascii="Times New Roman" w:hAnsi="Times New Roman" w:cs="Times New Roman"/>
          <w:i/>
          <w:sz w:val="24"/>
          <w:szCs w:val="24"/>
        </w:rPr>
        <w:t>QOZB</w:t>
      </w:r>
      <w:r w:rsidR="00176AE1">
        <w:rPr>
          <w:rFonts w:ascii="Times New Roman" w:hAnsi="Times New Roman" w:cs="Times New Roman"/>
          <w:i/>
          <w:sz w:val="24"/>
          <w:szCs w:val="24"/>
        </w:rPr>
        <w:t>)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76AE1" w:rsidRPr="00811EBA">
        <w:rPr>
          <w:rFonts w:ascii="Times New Roman" w:hAnsi="Times New Roman" w:cs="Times New Roman"/>
          <w:sz w:val="24"/>
          <w:szCs w:val="24"/>
        </w:rPr>
        <w:t xml:space="preserve">In the proposed regulations, </w:t>
      </w:r>
      <w:r w:rsidR="007D25F9">
        <w:rPr>
          <w:rFonts w:ascii="Times New Roman" w:hAnsi="Times New Roman" w:cs="Times New Roman"/>
          <w:sz w:val="24"/>
          <w:szCs w:val="24"/>
        </w:rPr>
        <w:t xml:space="preserve">an </w:t>
      </w:r>
      <w:r w:rsidR="00176AE1" w:rsidRPr="00811EBA">
        <w:rPr>
          <w:rFonts w:ascii="Times New Roman" w:hAnsi="Times New Roman" w:cs="Times New Roman"/>
          <w:sz w:val="24"/>
          <w:szCs w:val="24"/>
        </w:rPr>
        <w:t xml:space="preserve">investor could only </w:t>
      </w:r>
      <w:r w:rsidR="007D25F9">
        <w:rPr>
          <w:rFonts w:ascii="Times New Roman" w:hAnsi="Times New Roman" w:cs="Times New Roman"/>
          <w:sz w:val="24"/>
          <w:szCs w:val="24"/>
        </w:rPr>
        <w:t xml:space="preserve">elect to </w:t>
      </w:r>
      <w:r w:rsidR="00176AE1" w:rsidRPr="00811EBA">
        <w:rPr>
          <w:rFonts w:ascii="Times New Roman" w:hAnsi="Times New Roman" w:cs="Times New Roman"/>
          <w:sz w:val="24"/>
          <w:szCs w:val="24"/>
        </w:rPr>
        <w:t xml:space="preserve">exclude gains from </w:t>
      </w:r>
      <w:r w:rsidR="0055712E">
        <w:rPr>
          <w:rFonts w:ascii="Times New Roman" w:hAnsi="Times New Roman" w:cs="Times New Roman"/>
          <w:sz w:val="24"/>
          <w:szCs w:val="24"/>
        </w:rPr>
        <w:t xml:space="preserve">the </w:t>
      </w:r>
      <w:r w:rsidR="007D25F9">
        <w:rPr>
          <w:rFonts w:ascii="Times New Roman" w:hAnsi="Times New Roman" w:cs="Times New Roman"/>
          <w:sz w:val="24"/>
          <w:szCs w:val="24"/>
        </w:rPr>
        <w:t>sale o</w:t>
      </w:r>
      <w:r w:rsidR="0055712E">
        <w:rPr>
          <w:rFonts w:ascii="Times New Roman" w:hAnsi="Times New Roman" w:cs="Times New Roman"/>
          <w:sz w:val="24"/>
          <w:szCs w:val="24"/>
        </w:rPr>
        <w:t>f</w:t>
      </w:r>
      <w:r w:rsidR="007D25F9">
        <w:rPr>
          <w:rFonts w:ascii="Times New Roman" w:hAnsi="Times New Roman" w:cs="Times New Roman"/>
          <w:sz w:val="24"/>
          <w:szCs w:val="24"/>
        </w:rPr>
        <w:t xml:space="preserve"> qualifying investments or </w:t>
      </w:r>
      <w:r w:rsidR="00176AE1">
        <w:rPr>
          <w:rFonts w:ascii="Times New Roman" w:hAnsi="Times New Roman" w:cs="Times New Roman"/>
          <w:sz w:val="24"/>
          <w:szCs w:val="24"/>
        </w:rPr>
        <w:t xml:space="preserve">property sold by a </w:t>
      </w:r>
      <w:r w:rsidR="00176AE1" w:rsidRPr="00811EBA">
        <w:rPr>
          <w:rFonts w:ascii="Times New Roman" w:hAnsi="Times New Roman" w:cs="Times New Roman"/>
          <w:sz w:val="24"/>
          <w:szCs w:val="24"/>
        </w:rPr>
        <w:t>QOF</w:t>
      </w:r>
      <w:r w:rsidR="007D25F9">
        <w:rPr>
          <w:rFonts w:ascii="Times New Roman" w:hAnsi="Times New Roman" w:cs="Times New Roman"/>
          <w:sz w:val="24"/>
          <w:szCs w:val="24"/>
        </w:rPr>
        <w:t xml:space="preserve"> operating in </w:t>
      </w:r>
      <w:r w:rsidR="007D25F9" w:rsidRPr="00E77B40">
        <w:rPr>
          <w:rFonts w:ascii="Times New Roman" w:hAnsi="Times New Roman" w:cs="Times New Roman"/>
          <w:sz w:val="24"/>
          <w:szCs w:val="24"/>
        </w:rPr>
        <w:t>partnership or S Corporation form</w:t>
      </w:r>
      <w:r w:rsidR="00176AE1">
        <w:rPr>
          <w:rFonts w:ascii="Times New Roman" w:hAnsi="Times New Roman" w:cs="Times New Roman"/>
          <w:sz w:val="24"/>
          <w:szCs w:val="24"/>
        </w:rPr>
        <w:t>,</w:t>
      </w:r>
      <w:r w:rsidR="00176AE1" w:rsidRPr="00811EBA">
        <w:rPr>
          <w:rFonts w:ascii="Times New Roman" w:hAnsi="Times New Roman" w:cs="Times New Roman"/>
          <w:sz w:val="24"/>
          <w:szCs w:val="24"/>
        </w:rPr>
        <w:t xml:space="preserve"> </w:t>
      </w:r>
      <w:r w:rsidR="007D25F9">
        <w:rPr>
          <w:rFonts w:ascii="Times New Roman" w:hAnsi="Times New Roman" w:cs="Times New Roman"/>
          <w:sz w:val="24"/>
          <w:szCs w:val="24"/>
        </w:rPr>
        <w:t xml:space="preserve">but not property sold by </w:t>
      </w:r>
      <w:r w:rsidR="00176AE1" w:rsidRPr="00811EBA">
        <w:rPr>
          <w:rFonts w:ascii="Times New Roman" w:hAnsi="Times New Roman" w:cs="Times New Roman"/>
          <w:sz w:val="24"/>
          <w:szCs w:val="24"/>
        </w:rPr>
        <w:t>a subsidiary entity.</w:t>
      </w:r>
      <w:r w:rsidR="00176AE1">
        <w:rPr>
          <w:rFonts w:ascii="Times New Roman" w:hAnsi="Times New Roman" w:cs="Times New Roman"/>
          <w:sz w:val="24"/>
          <w:szCs w:val="24"/>
        </w:rPr>
        <w:t xml:space="preserve"> </w:t>
      </w:r>
      <w:r w:rsidR="006B0639" w:rsidRPr="00D964CA">
        <w:rPr>
          <w:rFonts w:ascii="Times New Roman" w:hAnsi="Times New Roman" w:cs="Times New Roman"/>
          <w:sz w:val="24"/>
          <w:szCs w:val="24"/>
        </w:rPr>
        <w:t>The final regulation</w:t>
      </w:r>
      <w:r w:rsidR="00B63617" w:rsidRPr="00D964CA">
        <w:rPr>
          <w:rFonts w:ascii="Times New Roman" w:hAnsi="Times New Roman" w:cs="Times New Roman"/>
          <w:sz w:val="24"/>
          <w:szCs w:val="24"/>
        </w:rPr>
        <w:t>s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 provide that </w:t>
      </w:r>
      <w:r w:rsidRPr="00D964CA">
        <w:rPr>
          <w:rFonts w:ascii="Times New Roman" w:hAnsi="Times New Roman" w:cs="Times New Roman"/>
          <w:sz w:val="24"/>
          <w:szCs w:val="24"/>
        </w:rPr>
        <w:t>capital gain</w:t>
      </w:r>
      <w:r w:rsidR="00176AE1">
        <w:rPr>
          <w:rFonts w:ascii="Times New Roman" w:hAnsi="Times New Roman" w:cs="Times New Roman"/>
          <w:sz w:val="24"/>
          <w:szCs w:val="24"/>
        </w:rPr>
        <w:t>s</w:t>
      </w:r>
      <w:r w:rsidRPr="00D964CA">
        <w:rPr>
          <w:rFonts w:ascii="Times New Roman" w:hAnsi="Times New Roman" w:cs="Times New Roman"/>
          <w:sz w:val="24"/>
          <w:szCs w:val="24"/>
        </w:rPr>
        <w:t xml:space="preserve"> from the sale of property by a QOZB that is held </w:t>
      </w:r>
      <w:r w:rsidR="007D25F9">
        <w:rPr>
          <w:rFonts w:ascii="Times New Roman" w:hAnsi="Times New Roman" w:cs="Times New Roman"/>
          <w:sz w:val="24"/>
          <w:szCs w:val="24"/>
        </w:rPr>
        <w:t>by such a QOF</w:t>
      </w:r>
      <w:r w:rsidR="007D25F9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may </w:t>
      </w:r>
      <w:r w:rsidR="007D25F9">
        <w:rPr>
          <w:rFonts w:ascii="Times New Roman" w:hAnsi="Times New Roman" w:cs="Times New Roman"/>
          <w:sz w:val="24"/>
          <w:szCs w:val="24"/>
        </w:rPr>
        <w:t xml:space="preserve">also </w:t>
      </w:r>
      <w:r w:rsidR="006B0639" w:rsidRPr="00D964CA">
        <w:rPr>
          <w:rFonts w:ascii="Times New Roman" w:hAnsi="Times New Roman" w:cs="Times New Roman"/>
          <w:sz w:val="24"/>
          <w:szCs w:val="24"/>
        </w:rPr>
        <w:t>be e</w:t>
      </w:r>
      <w:r w:rsidRPr="00D964CA">
        <w:rPr>
          <w:rFonts w:ascii="Times New Roman" w:hAnsi="Times New Roman" w:cs="Times New Roman"/>
          <w:sz w:val="24"/>
          <w:szCs w:val="24"/>
        </w:rPr>
        <w:t>xclu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ded from income </w:t>
      </w:r>
      <w:r w:rsidRPr="00D964CA">
        <w:rPr>
          <w:rFonts w:ascii="Times New Roman" w:hAnsi="Times New Roman" w:cs="Times New Roman"/>
          <w:sz w:val="24"/>
          <w:szCs w:val="24"/>
        </w:rPr>
        <w:t xml:space="preserve">as long as the </w:t>
      </w:r>
      <w:r w:rsidR="007D25F9">
        <w:rPr>
          <w:rFonts w:ascii="Times New Roman" w:hAnsi="Times New Roman" w:cs="Times New Roman"/>
          <w:sz w:val="24"/>
          <w:szCs w:val="24"/>
        </w:rPr>
        <w:t xml:space="preserve">investor’s </w:t>
      </w:r>
      <w:r w:rsidRPr="00D964CA">
        <w:rPr>
          <w:rFonts w:ascii="Times New Roman" w:hAnsi="Times New Roman" w:cs="Times New Roman"/>
          <w:sz w:val="24"/>
          <w:szCs w:val="24"/>
        </w:rPr>
        <w:t>qualifying investment in the QOF has been held for 10 years</w:t>
      </w:r>
      <w:r w:rsidR="00176AE1">
        <w:rPr>
          <w:rFonts w:ascii="Times New Roman" w:hAnsi="Times New Roman" w:cs="Times New Roman"/>
          <w:sz w:val="24"/>
          <w:szCs w:val="24"/>
        </w:rPr>
        <w:t>.</w:t>
      </w:r>
      <w:r w:rsidR="007E30F1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76AE1">
        <w:rPr>
          <w:rFonts w:ascii="Times New Roman" w:hAnsi="Times New Roman" w:cs="Times New Roman"/>
          <w:sz w:val="24"/>
          <w:szCs w:val="24"/>
        </w:rPr>
        <w:t>However,</w:t>
      </w:r>
      <w:r w:rsidR="007E30F1" w:rsidRPr="00D964CA">
        <w:rPr>
          <w:rFonts w:ascii="Times New Roman" w:hAnsi="Times New Roman" w:cs="Times New Roman"/>
          <w:sz w:val="24"/>
          <w:szCs w:val="24"/>
        </w:rPr>
        <w:t xml:space="preserve"> the amount of gain </w:t>
      </w:r>
      <w:r w:rsidR="00FA7538">
        <w:rPr>
          <w:rFonts w:ascii="Times New Roman" w:hAnsi="Times New Roman" w:cs="Times New Roman"/>
          <w:sz w:val="24"/>
          <w:szCs w:val="24"/>
        </w:rPr>
        <w:t>from such a QOF</w:t>
      </w:r>
      <w:r w:rsidR="0055712E">
        <w:rPr>
          <w:rFonts w:ascii="Times New Roman" w:hAnsi="Times New Roman" w:cs="Times New Roman"/>
          <w:sz w:val="24"/>
          <w:szCs w:val="24"/>
        </w:rPr>
        <w:t>’s</w:t>
      </w:r>
      <w:r w:rsidR="00FA7538">
        <w:rPr>
          <w:rFonts w:ascii="Times New Roman" w:hAnsi="Times New Roman" w:cs="Times New Roman"/>
          <w:sz w:val="24"/>
          <w:szCs w:val="24"/>
        </w:rPr>
        <w:t xml:space="preserve"> or its QOZBs’ asset sales that an investor in the QOF may elect to </w:t>
      </w:r>
      <w:r w:rsidR="007E30F1" w:rsidRPr="00D964CA">
        <w:rPr>
          <w:rFonts w:ascii="Times New Roman" w:hAnsi="Times New Roman" w:cs="Times New Roman"/>
          <w:sz w:val="24"/>
          <w:szCs w:val="24"/>
        </w:rPr>
        <w:t>exclude</w:t>
      </w:r>
      <w:r w:rsidR="00FA7538">
        <w:rPr>
          <w:rFonts w:ascii="Times New Roman" w:hAnsi="Times New Roman" w:cs="Times New Roman"/>
          <w:sz w:val="24"/>
          <w:szCs w:val="24"/>
        </w:rPr>
        <w:t xml:space="preserve"> each year</w:t>
      </w:r>
      <w:r w:rsidR="007E30F1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FA7538">
        <w:rPr>
          <w:rFonts w:ascii="Times New Roman" w:hAnsi="Times New Roman" w:cs="Times New Roman"/>
          <w:sz w:val="24"/>
          <w:szCs w:val="24"/>
        </w:rPr>
        <w:t xml:space="preserve">will </w:t>
      </w:r>
      <w:r w:rsidR="007E30F1" w:rsidRPr="00D964CA">
        <w:rPr>
          <w:rFonts w:ascii="Times New Roman" w:hAnsi="Times New Roman" w:cs="Times New Roman"/>
          <w:sz w:val="24"/>
          <w:szCs w:val="24"/>
        </w:rPr>
        <w:t xml:space="preserve">reduce the amount of </w:t>
      </w:r>
      <w:r w:rsidR="00FA7538">
        <w:rPr>
          <w:rFonts w:ascii="Times New Roman" w:hAnsi="Times New Roman" w:cs="Times New Roman"/>
          <w:sz w:val="24"/>
          <w:szCs w:val="24"/>
        </w:rPr>
        <w:t>the investor’s interest in the QOF that remains a qualifying investment</w:t>
      </w:r>
      <w:r w:rsidR="006B0639" w:rsidRPr="00D96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282" w:rsidRPr="00D964CA" w:rsidRDefault="00BE4282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282" w:rsidRPr="00D964CA" w:rsidRDefault="00BE4282" w:rsidP="00BE42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Applicability to other gains</w:t>
      </w:r>
      <w:r w:rsidR="00720957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 w:rsidR="00720957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751386">
        <w:rPr>
          <w:rFonts w:ascii="Times New Roman" w:hAnsi="Times New Roman" w:cs="Times New Roman"/>
          <w:sz w:val="24"/>
          <w:szCs w:val="24"/>
        </w:rPr>
        <w:t>The final rules c</w:t>
      </w:r>
      <w:r w:rsidRPr="00D964CA">
        <w:rPr>
          <w:rFonts w:ascii="Times New Roman" w:hAnsi="Times New Roman" w:cs="Times New Roman"/>
          <w:sz w:val="24"/>
          <w:szCs w:val="24"/>
        </w:rPr>
        <w:t>larif</w:t>
      </w:r>
      <w:r w:rsidR="00751386">
        <w:rPr>
          <w:rFonts w:ascii="Times New Roman" w:hAnsi="Times New Roman" w:cs="Times New Roman"/>
          <w:sz w:val="24"/>
          <w:szCs w:val="24"/>
        </w:rPr>
        <w:t>y</w:t>
      </w:r>
      <w:r w:rsidRPr="00D964CA">
        <w:rPr>
          <w:rFonts w:ascii="Times New Roman" w:hAnsi="Times New Roman" w:cs="Times New Roman"/>
          <w:sz w:val="24"/>
          <w:szCs w:val="24"/>
        </w:rPr>
        <w:t xml:space="preserve"> that the exclusion is available to other gains, such as distributions by a corporation to shareholders or a partnership to a partner, that are treated as gain</w:t>
      </w:r>
      <w:r w:rsidR="00751386">
        <w:rPr>
          <w:rFonts w:ascii="Times New Roman" w:hAnsi="Times New Roman" w:cs="Times New Roman"/>
          <w:sz w:val="24"/>
          <w:szCs w:val="24"/>
        </w:rPr>
        <w:t>s</w:t>
      </w:r>
      <w:r w:rsidRPr="00D964CA">
        <w:rPr>
          <w:rFonts w:ascii="Times New Roman" w:hAnsi="Times New Roman" w:cs="Times New Roman"/>
          <w:sz w:val="24"/>
          <w:szCs w:val="24"/>
        </w:rPr>
        <w:t xml:space="preserve"> from the sale o</w:t>
      </w:r>
      <w:r w:rsidR="00751386">
        <w:rPr>
          <w:rFonts w:ascii="Times New Roman" w:hAnsi="Times New Roman" w:cs="Times New Roman"/>
          <w:sz w:val="24"/>
          <w:szCs w:val="24"/>
        </w:rPr>
        <w:t>r</w:t>
      </w:r>
      <w:r w:rsidRPr="00D964CA">
        <w:rPr>
          <w:rFonts w:ascii="Times New Roman" w:hAnsi="Times New Roman" w:cs="Times New Roman"/>
          <w:sz w:val="24"/>
          <w:szCs w:val="24"/>
        </w:rPr>
        <w:t xml:space="preserve"> exchange of property </w:t>
      </w:r>
      <w:r w:rsidR="007D25F9">
        <w:rPr>
          <w:rFonts w:ascii="Times New Roman" w:hAnsi="Times New Roman" w:cs="Times New Roman"/>
          <w:sz w:val="24"/>
          <w:szCs w:val="24"/>
        </w:rPr>
        <w:t xml:space="preserve">(other than inventory) </w:t>
      </w:r>
      <w:r w:rsidRPr="00D964CA">
        <w:rPr>
          <w:rFonts w:ascii="Times New Roman" w:hAnsi="Times New Roman" w:cs="Times New Roman"/>
          <w:sz w:val="24"/>
          <w:szCs w:val="24"/>
        </w:rPr>
        <w:t>for Federal income tax purposes</w:t>
      </w:r>
      <w:r w:rsidR="00751386">
        <w:rPr>
          <w:rFonts w:ascii="Times New Roman" w:hAnsi="Times New Roman" w:cs="Times New Roman"/>
          <w:sz w:val="24"/>
          <w:szCs w:val="24"/>
        </w:rPr>
        <w:t>.</w:t>
      </w:r>
    </w:p>
    <w:p w:rsidR="009B4EF5" w:rsidRPr="00D964CA" w:rsidRDefault="009551F5">
      <w:pPr>
        <w:rPr>
          <w:rFonts w:ascii="Times New Roman" w:hAnsi="Times New Roman" w:cs="Times New Roman"/>
          <w:b/>
          <w:sz w:val="24"/>
          <w:szCs w:val="24"/>
        </w:rPr>
      </w:pPr>
      <w:r w:rsidRPr="00D964CA">
        <w:rPr>
          <w:rFonts w:ascii="Times New Roman" w:hAnsi="Times New Roman" w:cs="Times New Roman"/>
          <w:b/>
          <w:sz w:val="24"/>
          <w:szCs w:val="24"/>
        </w:rPr>
        <w:t xml:space="preserve">How does a Fund determine levels of new investment in a Qualified Opportunity Zone?  </w:t>
      </w:r>
    </w:p>
    <w:p w:rsidR="00751386" w:rsidRDefault="00751386" w:rsidP="00955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Aggregation of property for purposes of the substantial improvement test</w:t>
      </w:r>
      <w:r w:rsidRPr="00D964CA">
        <w:rPr>
          <w:rFonts w:ascii="Times New Roman" w:hAnsi="Times New Roman" w:cs="Times New Roman"/>
          <w:sz w:val="24"/>
          <w:szCs w:val="24"/>
        </w:rPr>
        <w:t xml:space="preserve"> — 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QOFs and </w:t>
      </w:r>
      <w:r w:rsidR="00720957" w:rsidRPr="00D964CA">
        <w:rPr>
          <w:rFonts w:ascii="Times New Roman" w:hAnsi="Times New Roman" w:cs="Times New Roman"/>
          <w:sz w:val="24"/>
          <w:szCs w:val="24"/>
        </w:rPr>
        <w:t>QOZBs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can take into account purchased original use assets that otherwise would qualify as qualified opportunity zone business property if the purchased assets</w:t>
      </w:r>
      <w:r w:rsidR="00307CED" w:rsidRPr="00D964CA">
        <w:rPr>
          <w:rFonts w:ascii="Times New Roman" w:hAnsi="Times New Roman" w:cs="Times New Roman"/>
          <w:sz w:val="24"/>
          <w:szCs w:val="24"/>
        </w:rPr>
        <w:t>:</w:t>
      </w:r>
    </w:p>
    <w:p w:rsidR="00424617" w:rsidRPr="00D964CA" w:rsidRDefault="009551F5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86" w:rsidRDefault="00B63617" w:rsidP="004246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A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re used in the same trade or business in the </w:t>
      </w:r>
      <w:r w:rsidR="00720957" w:rsidRPr="00D964CA">
        <w:rPr>
          <w:rFonts w:ascii="Times New Roman" w:hAnsi="Times New Roman" w:cs="Times New Roman"/>
          <w:sz w:val="24"/>
          <w:szCs w:val="24"/>
        </w:rPr>
        <w:t>Qualified Opportunity Zone (</w:t>
      </w:r>
      <w:r w:rsidR="009551F5" w:rsidRPr="00D964CA">
        <w:rPr>
          <w:rFonts w:ascii="Times New Roman" w:hAnsi="Times New Roman" w:cs="Times New Roman"/>
          <w:sz w:val="24"/>
          <w:szCs w:val="24"/>
        </w:rPr>
        <w:t>QOZ</w:t>
      </w:r>
      <w:r w:rsidR="00720957" w:rsidRPr="00D964CA">
        <w:rPr>
          <w:rFonts w:ascii="Times New Roman" w:hAnsi="Times New Roman" w:cs="Times New Roman"/>
          <w:sz w:val="24"/>
          <w:szCs w:val="24"/>
        </w:rPr>
        <w:t>)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720957" w:rsidRPr="00D964CA">
        <w:rPr>
          <w:rFonts w:ascii="Times New Roman" w:hAnsi="Times New Roman" w:cs="Times New Roman"/>
          <w:sz w:val="24"/>
          <w:szCs w:val="24"/>
        </w:rPr>
        <w:t>or a contiguous QOZ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for which </w:t>
      </w:r>
      <w:r w:rsidR="00751386">
        <w:rPr>
          <w:rFonts w:ascii="Times New Roman" w:hAnsi="Times New Roman" w:cs="Times New Roman"/>
          <w:sz w:val="24"/>
          <w:szCs w:val="24"/>
        </w:rPr>
        <w:t xml:space="preserve">a </w:t>
      </w:r>
      <w:r w:rsidR="009551F5" w:rsidRPr="00D964CA">
        <w:rPr>
          <w:rFonts w:ascii="Times New Roman" w:hAnsi="Times New Roman" w:cs="Times New Roman"/>
          <w:sz w:val="24"/>
          <w:szCs w:val="24"/>
        </w:rPr>
        <w:t>non-original use asset is used, and</w:t>
      </w:r>
    </w:p>
    <w:p w:rsidR="00424617" w:rsidRPr="00D964CA" w:rsidRDefault="009551F5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F5" w:rsidRDefault="00B63617" w:rsidP="004246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I</w:t>
      </w:r>
      <w:r w:rsidR="009551F5" w:rsidRPr="00D964CA">
        <w:rPr>
          <w:rFonts w:ascii="Times New Roman" w:hAnsi="Times New Roman" w:cs="Times New Roman"/>
          <w:sz w:val="24"/>
          <w:szCs w:val="24"/>
        </w:rPr>
        <w:t>mprove the functionality of the non-origi</w:t>
      </w:r>
      <w:r w:rsidR="00720957" w:rsidRPr="00D964CA">
        <w:rPr>
          <w:rFonts w:ascii="Times New Roman" w:hAnsi="Times New Roman" w:cs="Times New Roman"/>
          <w:sz w:val="24"/>
          <w:szCs w:val="24"/>
        </w:rPr>
        <w:t>nal use assets in the same QOZ or a contiguous QOZ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386" w:rsidRPr="00D964CA" w:rsidRDefault="00751386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1F5" w:rsidRDefault="002C76B9" w:rsidP="00B63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EBA">
        <w:rPr>
          <w:rFonts w:ascii="Times New Roman" w:hAnsi="Times New Roman" w:cs="Times New Roman"/>
          <w:i/>
          <w:sz w:val="24"/>
          <w:szCs w:val="24"/>
        </w:rPr>
        <w:t>Aggregation of property for purposes of the substantial improvement test</w:t>
      </w:r>
      <w:r>
        <w:rPr>
          <w:rFonts w:ascii="Times New Roman" w:hAnsi="Times New Roman" w:cs="Times New Roman"/>
          <w:i/>
          <w:sz w:val="24"/>
          <w:szCs w:val="24"/>
        </w:rPr>
        <w:t xml:space="preserve"> (continued) — </w:t>
      </w:r>
      <w:r w:rsidR="00C355A9" w:rsidRPr="00C355A9">
        <w:rPr>
          <w:rFonts w:ascii="Times New Roman" w:hAnsi="Times New Roman" w:cs="Times New Roman"/>
          <w:sz w:val="24"/>
          <w:szCs w:val="24"/>
        </w:rPr>
        <w:t xml:space="preserve">In certain cases, the final regulations permit </w:t>
      </w:r>
      <w:r w:rsidR="00A26A70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720957" w:rsidRPr="00C355A9">
        <w:rPr>
          <w:rFonts w:ascii="Times New Roman" w:hAnsi="Times New Roman" w:cs="Times New Roman"/>
          <w:sz w:val="24"/>
          <w:szCs w:val="24"/>
        </w:rPr>
        <w:t>t</w:t>
      </w:r>
      <w:r w:rsidR="009551F5" w:rsidRPr="00C355A9">
        <w:rPr>
          <w:rFonts w:ascii="Times New Roman" w:hAnsi="Times New Roman" w:cs="Times New Roman"/>
          <w:sz w:val="24"/>
          <w:szCs w:val="24"/>
        </w:rPr>
        <w:t>wo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or more buildings located </w:t>
      </w:r>
      <w:r w:rsidR="00144E38">
        <w:rPr>
          <w:rFonts w:ascii="Times New Roman" w:hAnsi="Times New Roman" w:cs="Times New Roman"/>
          <w:sz w:val="24"/>
          <w:szCs w:val="24"/>
        </w:rPr>
        <w:t xml:space="preserve">on the same parcel(s) of land </w:t>
      </w:r>
      <w:r w:rsidR="00C355A9">
        <w:rPr>
          <w:rFonts w:ascii="Times New Roman" w:hAnsi="Times New Roman" w:cs="Times New Roman"/>
          <w:sz w:val="24"/>
          <w:szCs w:val="24"/>
        </w:rPr>
        <w:t>to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C355A9">
        <w:rPr>
          <w:rFonts w:ascii="Times New Roman" w:hAnsi="Times New Roman" w:cs="Times New Roman"/>
          <w:sz w:val="24"/>
          <w:szCs w:val="24"/>
        </w:rPr>
        <w:t xml:space="preserve">be </w:t>
      </w:r>
      <w:r w:rsidR="009551F5" w:rsidRPr="00D964CA">
        <w:rPr>
          <w:rFonts w:ascii="Times New Roman" w:hAnsi="Times New Roman" w:cs="Times New Roman"/>
          <w:sz w:val="24"/>
          <w:szCs w:val="24"/>
        </w:rPr>
        <w:t>treated as a single property</w:t>
      </w:r>
      <w:r w:rsidR="00C355A9">
        <w:rPr>
          <w:rFonts w:ascii="Times New Roman" w:hAnsi="Times New Roman" w:cs="Times New Roman"/>
          <w:sz w:val="24"/>
          <w:szCs w:val="24"/>
        </w:rPr>
        <w:t xml:space="preserve">. In these cases, </w:t>
      </w:r>
      <w:r w:rsidR="00A26A70">
        <w:rPr>
          <w:rFonts w:ascii="Times New Roman" w:hAnsi="Times New Roman" w:cs="Times New Roman"/>
          <w:sz w:val="24"/>
          <w:szCs w:val="24"/>
        </w:rPr>
        <w:t xml:space="preserve">any 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additions to the basis of </w:t>
      </w:r>
      <w:r w:rsidR="00A26A70">
        <w:rPr>
          <w:rFonts w:ascii="Times New Roman" w:hAnsi="Times New Roman" w:cs="Times New Roman"/>
          <w:sz w:val="24"/>
          <w:szCs w:val="24"/>
        </w:rPr>
        <w:t xml:space="preserve">the </w:t>
      </w:r>
      <w:r w:rsidR="009551F5" w:rsidRPr="00D964CA">
        <w:rPr>
          <w:rFonts w:ascii="Times New Roman" w:hAnsi="Times New Roman" w:cs="Times New Roman"/>
          <w:sz w:val="24"/>
          <w:szCs w:val="24"/>
        </w:rPr>
        <w:t>building</w:t>
      </w:r>
      <w:r w:rsidR="00C355A9">
        <w:rPr>
          <w:rFonts w:ascii="Times New Roman" w:hAnsi="Times New Roman" w:cs="Times New Roman"/>
          <w:sz w:val="24"/>
          <w:szCs w:val="24"/>
        </w:rPr>
        <w:t>s</w:t>
      </w:r>
      <w:r w:rsidR="009551F5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A26A70">
        <w:rPr>
          <w:rFonts w:ascii="Times New Roman" w:hAnsi="Times New Roman" w:cs="Times New Roman"/>
          <w:sz w:val="24"/>
          <w:szCs w:val="24"/>
        </w:rPr>
        <w:t xml:space="preserve">in the group </w:t>
      </w:r>
      <w:r w:rsidR="009551F5" w:rsidRPr="00D964CA">
        <w:rPr>
          <w:rFonts w:ascii="Times New Roman" w:hAnsi="Times New Roman" w:cs="Times New Roman"/>
          <w:sz w:val="24"/>
          <w:szCs w:val="24"/>
        </w:rPr>
        <w:t>are aggregated to determine satisfaction of the substantial improvement requirement.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 Thus, </w:t>
      </w:r>
      <w:r w:rsidR="00A26A70">
        <w:rPr>
          <w:rFonts w:ascii="Times New Roman" w:hAnsi="Times New Roman" w:cs="Times New Roman"/>
          <w:sz w:val="24"/>
          <w:szCs w:val="24"/>
        </w:rPr>
        <w:t xml:space="preserve">a taxpayer need not increase the basis of each building by 100% </w:t>
      </w:r>
      <w:r w:rsidR="00B63617" w:rsidRPr="00D964CA">
        <w:rPr>
          <w:rFonts w:ascii="Times New Roman" w:hAnsi="Times New Roman" w:cs="Times New Roman"/>
          <w:sz w:val="24"/>
          <w:szCs w:val="24"/>
        </w:rPr>
        <w:t>as long as the total addition</w:t>
      </w:r>
      <w:r w:rsidR="00144E38">
        <w:rPr>
          <w:rFonts w:ascii="Times New Roman" w:hAnsi="Times New Roman" w:cs="Times New Roman"/>
          <w:sz w:val="24"/>
          <w:szCs w:val="24"/>
        </w:rPr>
        <w:t>s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 to basis </w:t>
      </w:r>
      <w:r w:rsidR="004B4DFB">
        <w:rPr>
          <w:rFonts w:ascii="Times New Roman" w:hAnsi="Times New Roman" w:cs="Times New Roman"/>
          <w:sz w:val="24"/>
          <w:szCs w:val="24"/>
        </w:rPr>
        <w:t xml:space="preserve">for </w:t>
      </w:r>
      <w:r w:rsidR="00A26A70">
        <w:rPr>
          <w:rFonts w:ascii="Times New Roman" w:hAnsi="Times New Roman" w:cs="Times New Roman"/>
          <w:sz w:val="24"/>
          <w:szCs w:val="24"/>
        </w:rPr>
        <w:t xml:space="preserve">the </w:t>
      </w:r>
      <w:r w:rsidR="00CA4296">
        <w:rPr>
          <w:rFonts w:ascii="Times New Roman" w:hAnsi="Times New Roman" w:cs="Times New Roman"/>
          <w:sz w:val="24"/>
          <w:szCs w:val="24"/>
        </w:rPr>
        <w:t xml:space="preserve">group of buildings 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equals 100% of the </w:t>
      </w:r>
      <w:r w:rsidR="004B4DFB">
        <w:rPr>
          <w:rFonts w:ascii="Times New Roman" w:hAnsi="Times New Roman" w:cs="Times New Roman"/>
          <w:sz w:val="24"/>
          <w:szCs w:val="24"/>
        </w:rPr>
        <w:t xml:space="preserve">initial 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basis </w:t>
      </w:r>
      <w:r w:rsidR="004B4DFB">
        <w:rPr>
          <w:rFonts w:ascii="Times New Roman" w:hAnsi="Times New Roman" w:cs="Times New Roman"/>
          <w:sz w:val="24"/>
          <w:szCs w:val="24"/>
        </w:rPr>
        <w:t xml:space="preserve">for </w:t>
      </w:r>
      <w:r w:rsidR="00B63617" w:rsidRPr="00D964CA">
        <w:rPr>
          <w:rFonts w:ascii="Times New Roman" w:hAnsi="Times New Roman" w:cs="Times New Roman"/>
          <w:sz w:val="24"/>
          <w:szCs w:val="24"/>
        </w:rPr>
        <w:t>the group.</w:t>
      </w:r>
    </w:p>
    <w:p w:rsidR="002C76B9" w:rsidRPr="00D964CA" w:rsidRDefault="002C76B9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814" w:rsidRPr="00D964CA" w:rsidRDefault="002C76B9" w:rsidP="002C76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Vacancy period to allow a building to qualify as original use</w:t>
      </w:r>
      <w:r w:rsidRPr="00D964CA">
        <w:rPr>
          <w:rFonts w:ascii="Times New Roman" w:hAnsi="Times New Roman" w:cs="Times New Roman"/>
          <w:sz w:val="24"/>
          <w:szCs w:val="24"/>
        </w:rPr>
        <w:t xml:space="preserve"> — </w:t>
      </w:r>
      <w:r w:rsidR="008F2436" w:rsidRPr="00D964CA">
        <w:rPr>
          <w:rFonts w:ascii="Times New Roman" w:hAnsi="Times New Roman" w:cs="Times New Roman"/>
          <w:sz w:val="24"/>
          <w:szCs w:val="24"/>
        </w:rPr>
        <w:t>T</w:t>
      </w:r>
      <w:r w:rsidR="007D5814" w:rsidRPr="00D964CA">
        <w:rPr>
          <w:rFonts w:ascii="Times New Roman" w:hAnsi="Times New Roman" w:cs="Times New Roman"/>
          <w:sz w:val="24"/>
          <w:szCs w:val="24"/>
        </w:rPr>
        <w:t>he final regulations reduce the five-year vacancy requirement in the proposed regulations to a one-year vacancy requirement</w:t>
      </w:r>
      <w:r w:rsidRPr="002C76B9">
        <w:rPr>
          <w:rFonts w:ascii="Times New Roman" w:hAnsi="Times New Roman" w:cs="Times New Roman"/>
          <w:sz w:val="24"/>
          <w:szCs w:val="24"/>
        </w:rPr>
        <w:t>,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 if the property was vacant for at least one-year prior to the </w:t>
      </w:r>
      <w:r w:rsidR="00144E38">
        <w:rPr>
          <w:rFonts w:ascii="Times New Roman" w:hAnsi="Times New Roman" w:cs="Times New Roman"/>
          <w:sz w:val="24"/>
          <w:szCs w:val="24"/>
        </w:rPr>
        <w:t>QOZ</w:t>
      </w:r>
      <w:r w:rsidR="00144E38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being designated 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and remains vacant </w:t>
      </w:r>
      <w:r w:rsidR="007D5814" w:rsidRPr="00D964CA">
        <w:rPr>
          <w:rFonts w:ascii="Times New Roman" w:hAnsi="Times New Roman" w:cs="Times New Roman"/>
          <w:sz w:val="24"/>
          <w:szCs w:val="24"/>
        </w:rPr>
        <w:t>through the date of purchase.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For </w:t>
      </w:r>
      <w:r w:rsidR="00B63617" w:rsidRPr="00D964CA">
        <w:rPr>
          <w:rFonts w:ascii="Times New Roman" w:hAnsi="Times New Roman" w:cs="Times New Roman"/>
          <w:sz w:val="24"/>
          <w:szCs w:val="24"/>
        </w:rPr>
        <w:t xml:space="preserve">other </w:t>
      </w:r>
      <w:r w:rsidR="008F2436" w:rsidRPr="00D964CA">
        <w:rPr>
          <w:rFonts w:ascii="Times New Roman" w:hAnsi="Times New Roman" w:cs="Times New Roman"/>
          <w:sz w:val="24"/>
          <w:szCs w:val="24"/>
        </w:rPr>
        <w:t xml:space="preserve">vacant </w:t>
      </w:r>
      <w:r w:rsidR="00B63617" w:rsidRPr="00D964CA">
        <w:rPr>
          <w:rFonts w:ascii="Times New Roman" w:hAnsi="Times New Roman" w:cs="Times New Roman"/>
          <w:sz w:val="24"/>
          <w:szCs w:val="24"/>
        </w:rPr>
        <w:t>property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, the </w:t>
      </w:r>
      <w:r w:rsidR="009A6889" w:rsidRPr="00D964CA">
        <w:rPr>
          <w:rFonts w:ascii="Times New Roman" w:hAnsi="Times New Roman" w:cs="Times New Roman"/>
          <w:sz w:val="24"/>
          <w:szCs w:val="24"/>
        </w:rPr>
        <w:t xml:space="preserve">proposed 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five-year </w:t>
      </w:r>
      <w:r w:rsidR="008F2436" w:rsidRPr="00D964CA">
        <w:rPr>
          <w:rFonts w:ascii="Times New Roman" w:hAnsi="Times New Roman" w:cs="Times New Roman"/>
          <w:sz w:val="24"/>
          <w:szCs w:val="24"/>
        </w:rPr>
        <w:t>vaca</w:t>
      </w:r>
      <w:r w:rsidR="009A6889" w:rsidRPr="00D964CA">
        <w:rPr>
          <w:rFonts w:ascii="Times New Roman" w:hAnsi="Times New Roman" w:cs="Times New Roman"/>
          <w:sz w:val="24"/>
          <w:szCs w:val="24"/>
        </w:rPr>
        <w:t>ncy re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quirement is reduced to three years. In addition, property </w:t>
      </w:r>
      <w:r w:rsidR="009A6889" w:rsidRPr="00D964CA">
        <w:rPr>
          <w:rFonts w:ascii="Times New Roman" w:hAnsi="Times New Roman" w:cs="Times New Roman"/>
          <w:sz w:val="24"/>
          <w:szCs w:val="24"/>
        </w:rPr>
        <w:t>i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nvoluntarily transferred to local government control is included in the definition of the term </w:t>
      </w:r>
      <w:r w:rsidR="009A6889" w:rsidRPr="00D964CA">
        <w:rPr>
          <w:rFonts w:ascii="Times New Roman" w:hAnsi="Times New Roman" w:cs="Times New Roman"/>
          <w:sz w:val="24"/>
          <w:szCs w:val="24"/>
        </w:rPr>
        <w:t xml:space="preserve">vacant, allowing it to be treated as original use property when </w:t>
      </w:r>
      <w:r w:rsidR="00144E38">
        <w:rPr>
          <w:rFonts w:ascii="Times New Roman" w:hAnsi="Times New Roman" w:cs="Times New Roman"/>
          <w:sz w:val="24"/>
          <w:szCs w:val="24"/>
        </w:rPr>
        <w:t xml:space="preserve">purchased </w:t>
      </w:r>
      <w:r w:rsidR="009A6889" w:rsidRPr="00D964CA">
        <w:rPr>
          <w:rFonts w:ascii="Times New Roman" w:hAnsi="Times New Roman" w:cs="Times New Roman"/>
          <w:sz w:val="24"/>
          <w:szCs w:val="24"/>
        </w:rPr>
        <w:t xml:space="preserve">by </w:t>
      </w:r>
      <w:r w:rsidR="00144E38">
        <w:rPr>
          <w:rFonts w:ascii="Times New Roman" w:hAnsi="Times New Roman" w:cs="Times New Roman"/>
          <w:sz w:val="24"/>
          <w:szCs w:val="24"/>
        </w:rPr>
        <w:t xml:space="preserve">a QOF or QOZB from </w:t>
      </w:r>
      <w:r w:rsidR="009A6889" w:rsidRPr="00D964CA">
        <w:rPr>
          <w:rFonts w:ascii="Times New Roman" w:hAnsi="Times New Roman" w:cs="Times New Roman"/>
          <w:sz w:val="24"/>
          <w:szCs w:val="24"/>
        </w:rPr>
        <w:t>the local government.</w:t>
      </w:r>
      <w:r w:rsidR="007D5814" w:rsidRPr="00D96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6B9" w:rsidRDefault="002C76B9" w:rsidP="00D964C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C76B9" w:rsidRPr="00D964CA" w:rsidRDefault="002C76B9" w:rsidP="00D964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L</w:t>
      </w:r>
      <w:r w:rsidR="00720957" w:rsidRPr="00D964CA">
        <w:rPr>
          <w:rFonts w:ascii="Times New Roman" w:hAnsi="Times New Roman" w:cs="Times New Roman"/>
          <w:i/>
          <w:sz w:val="24"/>
          <w:szCs w:val="24"/>
        </w:rPr>
        <w:t>easing</w:t>
      </w:r>
      <w:r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720957" w:rsidRPr="00D964C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57" w:rsidRPr="00D964CA">
        <w:rPr>
          <w:rFonts w:ascii="Times New Roman" w:hAnsi="Times New Roman" w:cs="Times New Roman"/>
          <w:sz w:val="24"/>
          <w:szCs w:val="24"/>
        </w:rPr>
        <w:t>The final regulations provide several changes to leasing provisions in the proposed regulations: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Pr="00D964CA" w:rsidRDefault="00720957" w:rsidP="00D964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State and local governments, as well as Indian tribal governments, will be exempt from the market-rate requirements for leased tangible property, 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Pr="00D964CA" w:rsidRDefault="00720957" w:rsidP="00D964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Leases between unrelated parties </w:t>
      </w:r>
      <w:r w:rsidR="008B64C2">
        <w:rPr>
          <w:rFonts w:ascii="Times New Roman" w:hAnsi="Times New Roman" w:cs="Times New Roman"/>
          <w:sz w:val="24"/>
          <w:szCs w:val="24"/>
        </w:rPr>
        <w:t>are generally</w:t>
      </w:r>
      <w:r w:rsidRPr="00D964CA">
        <w:rPr>
          <w:rFonts w:ascii="Times New Roman" w:hAnsi="Times New Roman" w:cs="Times New Roman"/>
          <w:sz w:val="24"/>
          <w:szCs w:val="24"/>
        </w:rPr>
        <w:t xml:space="preserve"> presumed to be at market rate terms, and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Pr="00D964CA" w:rsidRDefault="00720957" w:rsidP="00D964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Short-term leases </w:t>
      </w:r>
      <w:r w:rsidR="008B64C2">
        <w:rPr>
          <w:rFonts w:ascii="Times New Roman" w:hAnsi="Times New Roman" w:cs="Times New Roman"/>
          <w:sz w:val="24"/>
          <w:szCs w:val="24"/>
        </w:rPr>
        <w:t xml:space="preserve">of personal property </w:t>
      </w:r>
      <w:r w:rsidRPr="00D964CA">
        <w:rPr>
          <w:rFonts w:ascii="Times New Roman" w:hAnsi="Times New Roman" w:cs="Times New Roman"/>
          <w:sz w:val="24"/>
          <w:szCs w:val="24"/>
        </w:rPr>
        <w:t xml:space="preserve">to lessors </w:t>
      </w:r>
      <w:r w:rsidR="008B64C2">
        <w:rPr>
          <w:rFonts w:ascii="Times New Roman" w:hAnsi="Times New Roman" w:cs="Times New Roman"/>
          <w:sz w:val="24"/>
          <w:szCs w:val="24"/>
        </w:rPr>
        <w:t xml:space="preserve">using the property </w:t>
      </w:r>
      <w:r w:rsidRPr="00D964CA">
        <w:rPr>
          <w:rFonts w:ascii="Times New Roman" w:hAnsi="Times New Roman" w:cs="Times New Roman"/>
          <w:sz w:val="24"/>
          <w:szCs w:val="24"/>
        </w:rPr>
        <w:t xml:space="preserve">outside </w:t>
      </w:r>
      <w:r w:rsidR="008B64C2">
        <w:rPr>
          <w:rFonts w:ascii="Times New Roman" w:hAnsi="Times New Roman" w:cs="Times New Roman"/>
          <w:sz w:val="24"/>
          <w:szCs w:val="24"/>
        </w:rPr>
        <w:t>a</w:t>
      </w:r>
      <w:r w:rsidRPr="00D964CA">
        <w:rPr>
          <w:rFonts w:ascii="Times New Roman" w:hAnsi="Times New Roman" w:cs="Times New Roman"/>
          <w:sz w:val="24"/>
          <w:szCs w:val="24"/>
        </w:rPr>
        <w:t xml:space="preserve"> QOZ may be counted as </w:t>
      </w:r>
      <w:r w:rsidR="000625F4">
        <w:rPr>
          <w:rFonts w:ascii="Times New Roman" w:hAnsi="Times New Roman" w:cs="Times New Roman"/>
          <w:sz w:val="24"/>
          <w:szCs w:val="24"/>
        </w:rPr>
        <w:t>Qualified Opportunity Zone Business Property (</w:t>
      </w:r>
      <w:r w:rsidRPr="00D964CA">
        <w:rPr>
          <w:rFonts w:ascii="Times New Roman" w:hAnsi="Times New Roman" w:cs="Times New Roman"/>
          <w:sz w:val="24"/>
          <w:szCs w:val="24"/>
        </w:rPr>
        <w:t>QOZBP</w:t>
      </w:r>
      <w:r w:rsidR="000625F4">
        <w:rPr>
          <w:rFonts w:ascii="Times New Roman" w:hAnsi="Times New Roman" w:cs="Times New Roman"/>
          <w:sz w:val="24"/>
          <w:szCs w:val="24"/>
        </w:rPr>
        <w:t>)</w:t>
      </w:r>
      <w:r w:rsidRPr="00D964CA">
        <w:rPr>
          <w:rFonts w:ascii="Times New Roman" w:hAnsi="Times New Roman" w:cs="Times New Roman"/>
          <w:sz w:val="24"/>
          <w:szCs w:val="24"/>
        </w:rPr>
        <w:t>.</w:t>
      </w:r>
    </w:p>
    <w:p w:rsidR="00A92D7C" w:rsidRPr="00D964CA" w:rsidRDefault="00A92D7C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Pr="00D964CA" w:rsidRDefault="002C76B9" w:rsidP="00D964C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Working capital safe harbor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D7C" w:rsidRPr="00D964CA">
        <w:rPr>
          <w:rFonts w:ascii="Times New Roman" w:hAnsi="Times New Roman" w:cs="Times New Roman"/>
          <w:sz w:val="24"/>
          <w:szCs w:val="24"/>
        </w:rPr>
        <w:t>The final regulations provide several refinements to the working capital safe harbor: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Default="002C76B9" w:rsidP="00D964C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reate an additional 62-month safe harbor for start-up businesses to ensure that </w:t>
      </w:r>
      <w:r w:rsidR="009526FA" w:rsidRPr="00D964CA">
        <w:rPr>
          <w:rFonts w:ascii="Times New Roman" w:hAnsi="Times New Roman" w:cs="Times New Roman"/>
          <w:sz w:val="24"/>
          <w:szCs w:val="24"/>
        </w:rPr>
        <w:t xml:space="preserve">they 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can comply with the 70-percent tangible property standard, the 50-percent gross income requirement, and other requirements to </w:t>
      </w:r>
      <w:r w:rsidR="009526FA" w:rsidRPr="00D964CA">
        <w:rPr>
          <w:rFonts w:ascii="Times New Roman" w:hAnsi="Times New Roman" w:cs="Times New Roman"/>
          <w:sz w:val="24"/>
          <w:szCs w:val="24"/>
        </w:rPr>
        <w:t>qualify as a QOZB;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76B9" w:rsidRPr="00D964CA" w:rsidRDefault="002C76B9" w:rsidP="00D964C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rovide that a QOZB can receive an extra 24 months to </w:t>
      </w:r>
      <w:r w:rsidR="0055712E">
        <w:rPr>
          <w:rFonts w:ascii="Times New Roman" w:hAnsi="Times New Roman" w:cs="Times New Roman"/>
          <w:sz w:val="24"/>
          <w:szCs w:val="24"/>
        </w:rPr>
        <w:t>use</w:t>
      </w:r>
      <w:r w:rsidR="0055712E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A92D7C" w:rsidRPr="00D964CA">
        <w:rPr>
          <w:rFonts w:ascii="Times New Roman" w:hAnsi="Times New Roman" w:cs="Times New Roman"/>
          <w:sz w:val="24"/>
          <w:szCs w:val="24"/>
        </w:rPr>
        <w:t>working capit</w:t>
      </w:r>
      <w:r w:rsidR="00B63617" w:rsidRPr="00D964CA">
        <w:rPr>
          <w:rFonts w:ascii="Times New Roman" w:hAnsi="Times New Roman" w:cs="Times New Roman"/>
          <w:sz w:val="24"/>
          <w:szCs w:val="24"/>
        </w:rPr>
        <w:t>al if the QOZ is in a Federally-</w:t>
      </w:r>
      <w:r w:rsidR="00A92D7C" w:rsidRPr="00D964CA">
        <w:rPr>
          <w:rFonts w:ascii="Times New Roman" w:hAnsi="Times New Roman" w:cs="Times New Roman"/>
          <w:sz w:val="24"/>
          <w:szCs w:val="24"/>
        </w:rPr>
        <w:t>declared disaster area</w:t>
      </w:r>
      <w:r w:rsidR="009526FA" w:rsidRPr="00D964CA">
        <w:rPr>
          <w:rFonts w:ascii="Times New Roman" w:hAnsi="Times New Roman" w:cs="Times New Roman"/>
          <w:sz w:val="24"/>
          <w:szCs w:val="24"/>
        </w:rPr>
        <w:t>;</w:t>
      </w:r>
    </w:p>
    <w:p w:rsidR="002C76B9" w:rsidRDefault="002C76B9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21EF" w:rsidRPr="00D964CA" w:rsidRDefault="002C76B9" w:rsidP="00D964C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</w:t>
      </w:r>
      <w:r w:rsidR="00A92D7C" w:rsidRPr="00D964CA">
        <w:rPr>
          <w:rFonts w:ascii="Times New Roman" w:hAnsi="Times New Roman" w:cs="Times New Roman"/>
          <w:sz w:val="24"/>
          <w:szCs w:val="24"/>
        </w:rPr>
        <w:t>larif</w:t>
      </w:r>
      <w:r>
        <w:rPr>
          <w:rFonts w:ascii="Times New Roman" w:hAnsi="Times New Roman" w:cs="Times New Roman"/>
          <w:sz w:val="24"/>
          <w:szCs w:val="24"/>
        </w:rPr>
        <w:t>y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2D7C" w:rsidRPr="00D964CA">
        <w:rPr>
          <w:rFonts w:ascii="Times New Roman" w:hAnsi="Times New Roman" w:cs="Times New Roman"/>
          <w:sz w:val="24"/>
          <w:szCs w:val="24"/>
        </w:rPr>
        <w:t>safe harbor can only be used for a 62-month period and that amounts remaining at the conclusion of the period cannot be counted as tangible property for purposes of the 70-percent tangible property standard</w:t>
      </w:r>
      <w:r w:rsidR="009526FA" w:rsidRPr="00D964CA">
        <w:rPr>
          <w:rFonts w:ascii="Times New Roman" w:hAnsi="Times New Roman" w:cs="Times New Roman"/>
          <w:sz w:val="24"/>
          <w:szCs w:val="24"/>
        </w:rPr>
        <w:t>;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A21EF" w:rsidRDefault="004A21EF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21EF" w:rsidRPr="00D964CA" w:rsidRDefault="004A21EF" w:rsidP="00D964C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llow a QOZB to treat </w:t>
      </w:r>
      <w:r w:rsidR="008B64C2">
        <w:rPr>
          <w:rFonts w:ascii="Times New Roman" w:hAnsi="Times New Roman" w:cs="Times New Roman"/>
          <w:sz w:val="24"/>
          <w:szCs w:val="24"/>
        </w:rPr>
        <w:t xml:space="preserve">equipment, buildings, and other 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tangible property </w:t>
      </w:r>
      <w:r w:rsidR="008B64C2">
        <w:rPr>
          <w:rFonts w:ascii="Times New Roman" w:hAnsi="Times New Roman" w:cs="Times New Roman"/>
          <w:sz w:val="24"/>
          <w:szCs w:val="24"/>
        </w:rPr>
        <w:t xml:space="preserve">that is </w:t>
      </w:r>
      <w:r w:rsidR="0055712E">
        <w:rPr>
          <w:rFonts w:ascii="Times New Roman" w:hAnsi="Times New Roman" w:cs="Times New Roman"/>
          <w:sz w:val="24"/>
          <w:szCs w:val="24"/>
        </w:rPr>
        <w:t xml:space="preserve">being </w:t>
      </w:r>
      <w:r w:rsidR="008B64C2">
        <w:rPr>
          <w:rFonts w:ascii="Times New Roman" w:hAnsi="Times New Roman" w:cs="Times New Roman"/>
          <w:sz w:val="24"/>
          <w:szCs w:val="24"/>
        </w:rPr>
        <w:t>improv</w:t>
      </w:r>
      <w:r w:rsidR="0055712E">
        <w:rPr>
          <w:rFonts w:ascii="Times New Roman" w:hAnsi="Times New Roman" w:cs="Times New Roman"/>
          <w:sz w:val="24"/>
          <w:szCs w:val="24"/>
        </w:rPr>
        <w:t>ed</w:t>
      </w:r>
      <w:r w:rsidR="008B64C2">
        <w:rPr>
          <w:rFonts w:ascii="Times New Roman" w:hAnsi="Times New Roman" w:cs="Times New Roman"/>
          <w:sz w:val="24"/>
          <w:szCs w:val="24"/>
        </w:rPr>
        <w:t xml:space="preserve"> with 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the working capital as </w:t>
      </w:r>
      <w:r w:rsidR="007B5C3E">
        <w:rPr>
          <w:rFonts w:ascii="Times New Roman" w:hAnsi="Times New Roman" w:cs="Times New Roman"/>
          <w:sz w:val="24"/>
          <w:szCs w:val="24"/>
        </w:rPr>
        <w:t>QOZBP that is “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used in </w:t>
      </w:r>
      <w:r w:rsidR="007B5C3E">
        <w:rPr>
          <w:rFonts w:ascii="Times New Roman" w:hAnsi="Times New Roman" w:cs="Times New Roman"/>
          <w:sz w:val="24"/>
          <w:szCs w:val="24"/>
        </w:rPr>
        <w:t>a</w:t>
      </w:r>
      <w:r w:rsidR="007B5C3E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A92D7C" w:rsidRPr="00D964CA">
        <w:rPr>
          <w:rFonts w:ascii="Times New Roman" w:hAnsi="Times New Roman" w:cs="Times New Roman"/>
          <w:sz w:val="24"/>
          <w:szCs w:val="24"/>
        </w:rPr>
        <w:t>trade or business</w:t>
      </w:r>
      <w:r w:rsidR="007B5C3E">
        <w:rPr>
          <w:rFonts w:ascii="Times New Roman" w:hAnsi="Times New Roman" w:cs="Times New Roman"/>
          <w:sz w:val="24"/>
          <w:szCs w:val="24"/>
        </w:rPr>
        <w:t>”</w:t>
      </w:r>
      <w:r w:rsidR="00A92D7C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7B5C3E">
        <w:rPr>
          <w:rFonts w:ascii="Times New Roman" w:hAnsi="Times New Roman" w:cs="Times New Roman"/>
          <w:sz w:val="24"/>
          <w:szCs w:val="24"/>
        </w:rPr>
        <w:t>for purposes of the requirement that a QOZB must be engaged in a trade or business</w:t>
      </w:r>
      <w:r w:rsidR="009526FA" w:rsidRPr="00D964CA">
        <w:rPr>
          <w:rFonts w:ascii="Times New Roman" w:hAnsi="Times New Roman" w:cs="Times New Roman"/>
          <w:sz w:val="24"/>
          <w:szCs w:val="24"/>
        </w:rPr>
        <w:t>.</w:t>
      </w:r>
    </w:p>
    <w:p w:rsidR="004A21EF" w:rsidRDefault="004A21EF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26FA" w:rsidRDefault="00A92D7C" w:rsidP="00D964CA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526FA" w:rsidRPr="00D964CA">
        <w:rPr>
          <w:rFonts w:ascii="Times New Roman" w:hAnsi="Times New Roman" w:cs="Times New Roman"/>
          <w:sz w:val="24"/>
          <w:szCs w:val="24"/>
        </w:rPr>
        <w:t>the final regulation</w:t>
      </w:r>
      <w:r w:rsidR="004A21EF">
        <w:rPr>
          <w:rFonts w:ascii="Times New Roman" w:hAnsi="Times New Roman" w:cs="Times New Roman"/>
          <w:sz w:val="24"/>
          <w:szCs w:val="24"/>
        </w:rPr>
        <w:t>s</w:t>
      </w:r>
      <w:r w:rsidR="009526FA" w:rsidRPr="00D964CA">
        <w:rPr>
          <w:rFonts w:ascii="Times New Roman" w:hAnsi="Times New Roman" w:cs="Times New Roman"/>
          <w:sz w:val="24"/>
          <w:szCs w:val="24"/>
        </w:rPr>
        <w:t xml:space="preserve"> provide that a QOZB not utilizing the working capital safe harbor may treat tangible property undergoing the substantial improvement process as being used in a trade or business.</w:t>
      </w:r>
    </w:p>
    <w:p w:rsidR="004A21EF" w:rsidRPr="00D964CA" w:rsidRDefault="004A21EF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06A0" w:rsidRDefault="004A21EF" w:rsidP="004A21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Measurement of “use” for the 70-percent use test</w:t>
      </w:r>
      <w:r w:rsidRPr="004A21EF">
        <w:rPr>
          <w:rFonts w:ascii="Times New Roman" w:hAnsi="Times New Roman" w:cs="Times New Roman"/>
          <w:sz w:val="24"/>
          <w:szCs w:val="24"/>
        </w:rPr>
        <w:t xml:space="preserve">— </w:t>
      </w:r>
      <w:r w:rsidR="001106A0" w:rsidRPr="00D964CA">
        <w:rPr>
          <w:rFonts w:ascii="Times New Roman" w:hAnsi="Times New Roman" w:cs="Times New Roman"/>
          <w:sz w:val="24"/>
          <w:szCs w:val="24"/>
        </w:rPr>
        <w:t>The final regulations provide that, if tangible property is used in one or more QOZs, satisfaction of the 70-percent use test is determined by aggregating the number of days the tangible property in each QOZ is utilized.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A0" w:rsidRPr="00D964CA">
        <w:rPr>
          <w:rFonts w:ascii="Times New Roman" w:hAnsi="Times New Roman" w:cs="Times New Roman"/>
          <w:sz w:val="24"/>
          <w:szCs w:val="24"/>
        </w:rPr>
        <w:t xml:space="preserve">Accordingly, the final regulations set forth a </w:t>
      </w:r>
      <w:r w:rsidR="00A133D0">
        <w:rPr>
          <w:rFonts w:ascii="Times New Roman" w:hAnsi="Times New Roman" w:cs="Times New Roman"/>
          <w:sz w:val="24"/>
          <w:szCs w:val="24"/>
        </w:rPr>
        <w:t>clearer way</w:t>
      </w:r>
      <w:r w:rsidR="00A133D0" w:rsidRPr="00D964CA">
        <w:rPr>
          <w:rFonts w:ascii="Times New Roman" w:hAnsi="Times New Roman" w:cs="Times New Roman"/>
          <w:sz w:val="24"/>
          <w:szCs w:val="24"/>
        </w:rPr>
        <w:t xml:space="preserve"> </w:t>
      </w:r>
      <w:r w:rsidR="001106A0" w:rsidRPr="00D964CA">
        <w:rPr>
          <w:rFonts w:ascii="Times New Roman" w:hAnsi="Times New Roman" w:cs="Times New Roman"/>
          <w:sz w:val="24"/>
          <w:szCs w:val="24"/>
        </w:rPr>
        <w:t>for determining satisfaction of the 70-percent use test, including a safe harbor for certain tangible property used both inside and outside the geographic borders of a QOZ.</w:t>
      </w:r>
    </w:p>
    <w:p w:rsidR="001839CB" w:rsidRPr="00D964CA" w:rsidRDefault="001839CB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1E5" w:rsidRDefault="001839CB" w:rsidP="005A24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i/>
          <w:sz w:val="24"/>
          <w:szCs w:val="24"/>
        </w:rPr>
        <w:t>Determinations of location and “use” of intangible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4C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EB" w:rsidRPr="00D964CA">
        <w:rPr>
          <w:rFonts w:ascii="Times New Roman" w:hAnsi="Times New Roman" w:cs="Times New Roman"/>
          <w:sz w:val="24"/>
          <w:szCs w:val="24"/>
        </w:rPr>
        <w:t xml:space="preserve">The final regulations provide that intangible property qualifies as used in the </w:t>
      </w:r>
      <w:r w:rsidR="00B63617" w:rsidRPr="00D964CA">
        <w:rPr>
          <w:rFonts w:ascii="Times New Roman" w:hAnsi="Times New Roman" w:cs="Times New Roman"/>
          <w:sz w:val="24"/>
          <w:szCs w:val="24"/>
        </w:rPr>
        <w:t>QO</w:t>
      </w:r>
      <w:r w:rsidR="005A24EB" w:rsidRPr="00D964CA">
        <w:rPr>
          <w:rFonts w:ascii="Times New Roman" w:hAnsi="Times New Roman" w:cs="Times New Roman"/>
          <w:sz w:val="24"/>
          <w:szCs w:val="24"/>
        </w:rPr>
        <w:t>Z if:</w:t>
      </w:r>
    </w:p>
    <w:p w:rsidR="00424617" w:rsidRPr="00D964CA" w:rsidRDefault="005A24EB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17" w:rsidRPr="00975FE0" w:rsidRDefault="00B63617" w:rsidP="0042461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T</w:t>
      </w:r>
      <w:r w:rsidR="005A24EB" w:rsidRPr="00D964CA">
        <w:rPr>
          <w:rFonts w:ascii="Times New Roman" w:hAnsi="Times New Roman" w:cs="Times New Roman"/>
          <w:sz w:val="24"/>
          <w:szCs w:val="24"/>
        </w:rPr>
        <w:t xml:space="preserve">he use of the </w:t>
      </w:r>
      <w:r w:rsidR="005A24EB" w:rsidRPr="00975FE0">
        <w:rPr>
          <w:rFonts w:ascii="Times New Roman" w:hAnsi="Times New Roman" w:cs="Times New Roman"/>
          <w:sz w:val="24"/>
          <w:szCs w:val="24"/>
        </w:rPr>
        <w:t xml:space="preserve">intangible property </w:t>
      </w:r>
      <w:r w:rsidR="009A01E5" w:rsidRPr="00975FE0">
        <w:rPr>
          <w:rFonts w:ascii="Times New Roman" w:hAnsi="Times New Roman" w:cs="Times New Roman"/>
          <w:sz w:val="24"/>
          <w:szCs w:val="24"/>
        </w:rPr>
        <w:t>is</w:t>
      </w:r>
      <w:r w:rsidR="005A24EB" w:rsidRPr="00975FE0">
        <w:rPr>
          <w:rFonts w:ascii="Times New Roman" w:hAnsi="Times New Roman" w:cs="Times New Roman"/>
          <w:sz w:val="24"/>
          <w:szCs w:val="24"/>
        </w:rPr>
        <w:t xml:space="preserve"> normal, usual, or customary in the conduct of the trade or business, and </w:t>
      </w:r>
    </w:p>
    <w:p w:rsidR="009A01E5" w:rsidRPr="00975FE0" w:rsidRDefault="009A01E5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A24EB" w:rsidRPr="00975FE0" w:rsidRDefault="00B63617" w:rsidP="0042461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sz w:val="24"/>
          <w:szCs w:val="24"/>
        </w:rPr>
        <w:t>T</w:t>
      </w:r>
      <w:r w:rsidR="005A24EB" w:rsidRPr="00975FE0">
        <w:rPr>
          <w:rFonts w:ascii="Times New Roman" w:hAnsi="Times New Roman" w:cs="Times New Roman"/>
          <w:sz w:val="24"/>
          <w:szCs w:val="24"/>
        </w:rPr>
        <w:t>he use contribute</w:t>
      </w:r>
      <w:r w:rsidR="009A01E5" w:rsidRPr="00975FE0">
        <w:rPr>
          <w:rFonts w:ascii="Times New Roman" w:hAnsi="Times New Roman" w:cs="Times New Roman"/>
          <w:sz w:val="24"/>
          <w:szCs w:val="24"/>
        </w:rPr>
        <w:t>s</w:t>
      </w:r>
      <w:r w:rsidR="005A24EB" w:rsidRPr="00975FE0">
        <w:rPr>
          <w:rFonts w:ascii="Times New Roman" w:hAnsi="Times New Roman" w:cs="Times New Roman"/>
          <w:sz w:val="24"/>
          <w:szCs w:val="24"/>
        </w:rPr>
        <w:t xml:space="preserve"> to the generation of gross income for the trade or business.</w:t>
      </w:r>
    </w:p>
    <w:p w:rsidR="009A01E5" w:rsidRPr="00975FE0" w:rsidRDefault="009A01E5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1E5" w:rsidRPr="00975FE0" w:rsidRDefault="009A01E5" w:rsidP="009526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i/>
          <w:sz w:val="24"/>
          <w:szCs w:val="24"/>
        </w:rPr>
        <w:t xml:space="preserve">Other clarifications regarding </w:t>
      </w:r>
      <w:r w:rsidR="00A133D0" w:rsidRPr="00975FE0">
        <w:rPr>
          <w:rFonts w:ascii="Times New Roman" w:hAnsi="Times New Roman" w:cs="Times New Roman"/>
          <w:i/>
          <w:sz w:val="24"/>
          <w:szCs w:val="24"/>
        </w:rPr>
        <w:t xml:space="preserve">business property of </w:t>
      </w:r>
      <w:r w:rsidRPr="00975FE0">
        <w:rPr>
          <w:rFonts w:ascii="Times New Roman" w:hAnsi="Times New Roman" w:cs="Times New Roman"/>
          <w:i/>
          <w:sz w:val="24"/>
          <w:szCs w:val="24"/>
        </w:rPr>
        <w:t>QOF</w:t>
      </w:r>
      <w:r w:rsidR="00A133D0" w:rsidRPr="00975FE0">
        <w:rPr>
          <w:rFonts w:ascii="Times New Roman" w:hAnsi="Times New Roman" w:cs="Times New Roman"/>
          <w:i/>
          <w:sz w:val="24"/>
          <w:szCs w:val="24"/>
        </w:rPr>
        <w:t>s</w:t>
      </w:r>
      <w:r w:rsidRPr="00975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3D0" w:rsidRPr="00975FE0">
        <w:rPr>
          <w:rFonts w:ascii="Times New Roman" w:hAnsi="Times New Roman" w:cs="Times New Roman"/>
          <w:i/>
          <w:sz w:val="24"/>
          <w:szCs w:val="24"/>
        </w:rPr>
        <w:t>or QOZBs</w:t>
      </w:r>
      <w:r w:rsidRPr="00975FE0">
        <w:rPr>
          <w:rFonts w:ascii="Times New Roman" w:hAnsi="Times New Roman" w:cs="Times New Roman"/>
          <w:sz w:val="24"/>
          <w:szCs w:val="24"/>
        </w:rPr>
        <w:t xml:space="preserve"> —</w:t>
      </w:r>
      <w:r w:rsidRPr="00975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01E5" w:rsidRPr="00975FE0" w:rsidRDefault="009A01E5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0A15" w:rsidRPr="00975FE0" w:rsidRDefault="009526FA" w:rsidP="00D964C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i/>
          <w:sz w:val="24"/>
          <w:szCs w:val="24"/>
        </w:rPr>
        <w:t>Real property straddling census tracts</w:t>
      </w:r>
      <w:r w:rsidRPr="00975FE0">
        <w:rPr>
          <w:rFonts w:ascii="Times New Roman" w:hAnsi="Times New Roman" w:cs="Times New Roman"/>
          <w:sz w:val="24"/>
          <w:szCs w:val="24"/>
        </w:rPr>
        <w:t xml:space="preserve"> — </w:t>
      </w:r>
      <w:r w:rsidR="001106A0" w:rsidRPr="00975FE0">
        <w:rPr>
          <w:rFonts w:ascii="Times New Roman" w:hAnsi="Times New Roman" w:cs="Times New Roman"/>
          <w:sz w:val="24"/>
          <w:szCs w:val="24"/>
        </w:rPr>
        <w:t>The f</w:t>
      </w:r>
      <w:r w:rsidRPr="00975FE0">
        <w:rPr>
          <w:rFonts w:ascii="Times New Roman" w:hAnsi="Times New Roman" w:cs="Times New Roman"/>
          <w:sz w:val="24"/>
          <w:szCs w:val="24"/>
        </w:rPr>
        <w:t>inal regulations include both a square footage test and an unadjusted cost test</w:t>
      </w:r>
      <w:r w:rsidR="001106A0" w:rsidRPr="00975FE0">
        <w:rPr>
          <w:rFonts w:ascii="Times New Roman" w:hAnsi="Times New Roman" w:cs="Times New Roman"/>
          <w:sz w:val="24"/>
          <w:szCs w:val="24"/>
        </w:rPr>
        <w:t xml:space="preserve"> to determine if </w:t>
      </w:r>
      <w:r w:rsidR="006C0A15" w:rsidRPr="00975FE0">
        <w:rPr>
          <w:rFonts w:ascii="Times New Roman" w:hAnsi="Times New Roman" w:cs="Times New Roman"/>
          <w:sz w:val="24"/>
          <w:szCs w:val="24"/>
        </w:rPr>
        <w:t>a</w:t>
      </w:r>
      <w:r w:rsidR="001106A0" w:rsidRPr="00975FE0">
        <w:rPr>
          <w:rFonts w:ascii="Times New Roman" w:hAnsi="Times New Roman" w:cs="Times New Roman"/>
          <w:sz w:val="24"/>
          <w:szCs w:val="24"/>
        </w:rPr>
        <w:t xml:space="preserve"> project is primarily in a QOZ</w:t>
      </w:r>
      <w:r w:rsidRPr="00975FE0">
        <w:rPr>
          <w:rFonts w:ascii="Times New Roman" w:hAnsi="Times New Roman" w:cs="Times New Roman"/>
          <w:sz w:val="24"/>
          <w:szCs w:val="24"/>
        </w:rPr>
        <w:t>, and provide that parcels or tracts of land will be considered contiguous if they possess common boundaries, and would be contiguous but for the interposition of a road, street, railroad, stream or similar property.  Importantly, the final regulations also extend the straddle rules to QOF’s and QOZB’s with respect to the 70-percent use test.</w:t>
      </w:r>
    </w:p>
    <w:p w:rsidR="009526FA" w:rsidRPr="00975FE0" w:rsidRDefault="009526FA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06A0" w:rsidRPr="00975FE0" w:rsidRDefault="001106A0" w:rsidP="00D964C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i/>
          <w:sz w:val="24"/>
          <w:szCs w:val="24"/>
        </w:rPr>
        <w:t>Brownfield sites</w:t>
      </w:r>
      <w:r w:rsidRPr="00975FE0">
        <w:rPr>
          <w:rFonts w:ascii="Times New Roman" w:hAnsi="Times New Roman" w:cs="Times New Roman"/>
          <w:sz w:val="24"/>
          <w:szCs w:val="24"/>
        </w:rPr>
        <w:t xml:space="preserve"> — </w:t>
      </w:r>
      <w:r w:rsidR="006C0A15" w:rsidRPr="00975FE0">
        <w:rPr>
          <w:rFonts w:ascii="Times New Roman" w:hAnsi="Times New Roman" w:cs="Times New Roman"/>
          <w:sz w:val="24"/>
          <w:szCs w:val="24"/>
        </w:rPr>
        <w:t>The final regulations p</w:t>
      </w:r>
      <w:r w:rsidRPr="00975FE0">
        <w:rPr>
          <w:rFonts w:ascii="Times New Roman" w:hAnsi="Times New Roman" w:cs="Times New Roman"/>
          <w:sz w:val="24"/>
          <w:szCs w:val="24"/>
        </w:rPr>
        <w:t xml:space="preserve">rovide that both the land and structures in a </w:t>
      </w:r>
      <w:r w:rsidR="003A5DFC" w:rsidRPr="00975FE0">
        <w:rPr>
          <w:rFonts w:ascii="Times New Roman" w:hAnsi="Times New Roman" w:cs="Times New Roman"/>
          <w:sz w:val="24"/>
          <w:szCs w:val="24"/>
        </w:rPr>
        <w:t>B</w:t>
      </w:r>
      <w:r w:rsidRPr="00975FE0">
        <w:rPr>
          <w:rFonts w:ascii="Times New Roman" w:hAnsi="Times New Roman" w:cs="Times New Roman"/>
          <w:sz w:val="24"/>
          <w:szCs w:val="24"/>
        </w:rPr>
        <w:t xml:space="preserve">rownfield site redevelopment are considered to be original use property as long as the QOF or QOZB make investments into the </w:t>
      </w:r>
      <w:r w:rsidR="006C0A15" w:rsidRPr="00975FE0">
        <w:rPr>
          <w:rFonts w:ascii="Times New Roman" w:hAnsi="Times New Roman" w:cs="Times New Roman"/>
          <w:sz w:val="24"/>
          <w:szCs w:val="24"/>
        </w:rPr>
        <w:t>B</w:t>
      </w:r>
      <w:r w:rsidRPr="00975FE0">
        <w:rPr>
          <w:rFonts w:ascii="Times New Roman" w:hAnsi="Times New Roman" w:cs="Times New Roman"/>
          <w:sz w:val="24"/>
          <w:szCs w:val="24"/>
        </w:rPr>
        <w:t>rownfield site to improve its safety and compliance with environmental standards.</w:t>
      </w:r>
    </w:p>
    <w:p w:rsidR="006C0A15" w:rsidRPr="00975FE0" w:rsidRDefault="006C0A15" w:rsidP="00D964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06A0" w:rsidRPr="00975FE0" w:rsidRDefault="001106A0" w:rsidP="00D964C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i/>
          <w:sz w:val="24"/>
          <w:szCs w:val="24"/>
        </w:rPr>
        <w:t>Self-constructed property</w:t>
      </w:r>
      <w:r w:rsidRPr="00975FE0">
        <w:rPr>
          <w:rFonts w:ascii="Times New Roman" w:hAnsi="Times New Roman" w:cs="Times New Roman"/>
          <w:sz w:val="24"/>
          <w:szCs w:val="24"/>
        </w:rPr>
        <w:t xml:space="preserve"> — </w:t>
      </w:r>
      <w:r w:rsidR="006C0A15" w:rsidRPr="00975FE0">
        <w:rPr>
          <w:rFonts w:ascii="Times New Roman" w:hAnsi="Times New Roman" w:cs="Times New Roman"/>
          <w:sz w:val="24"/>
          <w:szCs w:val="24"/>
        </w:rPr>
        <w:t xml:space="preserve">The final rules provide </w:t>
      </w:r>
      <w:r w:rsidRPr="00975FE0">
        <w:rPr>
          <w:rFonts w:ascii="Times New Roman" w:hAnsi="Times New Roman" w:cs="Times New Roman"/>
          <w:sz w:val="24"/>
          <w:szCs w:val="24"/>
        </w:rPr>
        <w:t xml:space="preserve">that self-constructed property can count for purposes of the </w:t>
      </w:r>
      <w:r w:rsidR="003A5DFC" w:rsidRPr="00975FE0">
        <w:rPr>
          <w:rFonts w:ascii="Times New Roman" w:hAnsi="Times New Roman" w:cs="Times New Roman"/>
          <w:sz w:val="24"/>
          <w:szCs w:val="24"/>
        </w:rPr>
        <w:t xml:space="preserve">QOF’s 90-percent asset test and the QOZB’s 70-percent </w:t>
      </w:r>
      <w:r w:rsidRPr="00975FE0">
        <w:rPr>
          <w:rFonts w:ascii="Times New Roman" w:hAnsi="Times New Roman" w:cs="Times New Roman"/>
          <w:sz w:val="24"/>
          <w:szCs w:val="24"/>
        </w:rPr>
        <w:t>asset test, and is valued at the purchase price as of the date when physical work of a significant nature begins.</w:t>
      </w:r>
    </w:p>
    <w:p w:rsidR="006C0A15" w:rsidRPr="00975FE0" w:rsidRDefault="006C0A15" w:rsidP="00D96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4EB" w:rsidRPr="00A26A70" w:rsidRDefault="005A24EB" w:rsidP="00D964C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5FE0">
        <w:rPr>
          <w:rFonts w:ascii="Times New Roman" w:hAnsi="Times New Roman" w:cs="Times New Roman"/>
          <w:i/>
          <w:sz w:val="24"/>
          <w:szCs w:val="24"/>
        </w:rPr>
        <w:t>De minim</w:t>
      </w:r>
      <w:r w:rsidR="004A1D05" w:rsidRPr="00975FE0">
        <w:rPr>
          <w:rFonts w:ascii="Times New Roman" w:hAnsi="Times New Roman" w:cs="Times New Roman"/>
          <w:i/>
          <w:sz w:val="24"/>
          <w:szCs w:val="24"/>
        </w:rPr>
        <w:t>i</w:t>
      </w:r>
      <w:r w:rsidRPr="00975FE0">
        <w:rPr>
          <w:rFonts w:ascii="Times New Roman" w:hAnsi="Times New Roman" w:cs="Times New Roman"/>
          <w:i/>
          <w:sz w:val="24"/>
          <w:szCs w:val="24"/>
        </w:rPr>
        <w:t>s exception for “sin businesses”</w:t>
      </w:r>
      <w:r w:rsidRPr="00975FE0">
        <w:rPr>
          <w:rFonts w:ascii="Times New Roman" w:hAnsi="Times New Roman" w:cs="Times New Roman"/>
          <w:sz w:val="24"/>
          <w:szCs w:val="24"/>
        </w:rPr>
        <w:t xml:space="preserve"> — The final regulations provide that a QOZB may have less than 5 percent of its property </w:t>
      </w:r>
      <w:r w:rsidR="00B63617" w:rsidRPr="00975FE0">
        <w:rPr>
          <w:rFonts w:ascii="Times New Roman" w:hAnsi="Times New Roman" w:cs="Times New Roman"/>
          <w:sz w:val="24"/>
          <w:szCs w:val="24"/>
        </w:rPr>
        <w:t>leased to</w:t>
      </w:r>
      <w:r w:rsidRPr="00975FE0">
        <w:rPr>
          <w:rFonts w:ascii="Times New Roman" w:hAnsi="Times New Roman" w:cs="Times New Roman"/>
          <w:sz w:val="24"/>
          <w:szCs w:val="24"/>
        </w:rPr>
        <w:t xml:space="preserve"> a </w:t>
      </w:r>
      <w:r w:rsidR="006C0A15" w:rsidRPr="00975FE0">
        <w:rPr>
          <w:rFonts w:ascii="Times New Roman" w:hAnsi="Times New Roman" w:cs="Times New Roman"/>
          <w:sz w:val="24"/>
          <w:szCs w:val="24"/>
        </w:rPr>
        <w:t>so-called “</w:t>
      </w:r>
      <w:r w:rsidRPr="00975FE0">
        <w:rPr>
          <w:rFonts w:ascii="Times New Roman" w:hAnsi="Times New Roman" w:cs="Times New Roman"/>
          <w:sz w:val="24"/>
          <w:szCs w:val="24"/>
        </w:rPr>
        <w:t>sin business</w:t>
      </w:r>
      <w:r w:rsidR="006C0A15" w:rsidRPr="00975FE0">
        <w:rPr>
          <w:rFonts w:ascii="Times New Roman" w:hAnsi="Times New Roman" w:cs="Times New Roman"/>
          <w:sz w:val="24"/>
          <w:szCs w:val="24"/>
        </w:rPr>
        <w:t>”</w:t>
      </w:r>
      <w:r w:rsidRPr="00975FE0">
        <w:rPr>
          <w:rFonts w:ascii="Times New Roman" w:hAnsi="Times New Roman" w:cs="Times New Roman"/>
          <w:sz w:val="24"/>
          <w:szCs w:val="24"/>
        </w:rPr>
        <w:t xml:space="preserve"> </w:t>
      </w:r>
      <w:r w:rsidR="0055712E" w:rsidRPr="00975FE0">
        <w:rPr>
          <w:rFonts w:ascii="Times New Roman" w:hAnsi="Times New Roman" w:cs="Times New Roman"/>
          <w:sz w:val="24"/>
          <w:szCs w:val="24"/>
        </w:rPr>
        <w:t xml:space="preserve">described in </w:t>
      </w:r>
      <w:r w:rsidR="00975FE0" w:rsidRPr="00975FE0">
        <w:rPr>
          <w:rFonts w:ascii="Times New Roman" w:hAnsi="Times New Roman" w:cs="Times New Roman"/>
          <w:sz w:val="24"/>
          <w:szCs w:val="24"/>
        </w:rPr>
        <w:t>26 U.S.C. §</w:t>
      </w:r>
      <w:r w:rsidR="0055712E" w:rsidRPr="00975FE0">
        <w:rPr>
          <w:rFonts w:ascii="Times New Roman" w:hAnsi="Times New Roman" w:cs="Times New Roman"/>
          <w:sz w:val="24"/>
          <w:szCs w:val="24"/>
        </w:rPr>
        <w:t>144(c)(6)(B)</w:t>
      </w:r>
      <w:r w:rsidR="00D3742A">
        <w:rPr>
          <w:rFonts w:ascii="Times New Roman" w:hAnsi="Times New Roman" w:cs="Times New Roman"/>
          <w:sz w:val="24"/>
          <w:szCs w:val="24"/>
        </w:rPr>
        <w:t>. For example,</w:t>
      </w:r>
      <w:r w:rsidRPr="00975FE0">
        <w:rPr>
          <w:rFonts w:ascii="Times New Roman" w:hAnsi="Times New Roman" w:cs="Times New Roman"/>
          <w:sz w:val="24"/>
          <w:szCs w:val="24"/>
        </w:rPr>
        <w:t xml:space="preserve"> a </w:t>
      </w:r>
      <w:r w:rsidR="003A5DFC" w:rsidRPr="00975FE0">
        <w:rPr>
          <w:rFonts w:ascii="Times New Roman" w:hAnsi="Times New Roman" w:cs="Times New Roman"/>
          <w:sz w:val="24"/>
          <w:szCs w:val="24"/>
        </w:rPr>
        <w:t xml:space="preserve">hotel business of a QOZB </w:t>
      </w:r>
      <w:r w:rsidR="00D3742A">
        <w:rPr>
          <w:rFonts w:ascii="Times New Roman" w:hAnsi="Times New Roman" w:cs="Times New Roman"/>
          <w:sz w:val="24"/>
          <w:szCs w:val="24"/>
        </w:rPr>
        <w:t xml:space="preserve">could potentially </w:t>
      </w:r>
      <w:r w:rsidR="003A5DFC" w:rsidRPr="00C355A9">
        <w:rPr>
          <w:rFonts w:ascii="Times New Roman" w:hAnsi="Times New Roman" w:cs="Times New Roman"/>
          <w:sz w:val="24"/>
          <w:szCs w:val="24"/>
        </w:rPr>
        <w:t xml:space="preserve">lease space to a </w:t>
      </w:r>
      <w:r w:rsidRPr="00C355A9">
        <w:rPr>
          <w:rFonts w:ascii="Times New Roman" w:hAnsi="Times New Roman" w:cs="Times New Roman"/>
          <w:sz w:val="24"/>
          <w:szCs w:val="24"/>
        </w:rPr>
        <w:t xml:space="preserve">spa </w:t>
      </w:r>
      <w:r w:rsidR="003A5DFC" w:rsidRPr="00C355A9">
        <w:rPr>
          <w:rFonts w:ascii="Times New Roman" w:hAnsi="Times New Roman" w:cs="Times New Roman"/>
          <w:sz w:val="24"/>
          <w:szCs w:val="24"/>
        </w:rPr>
        <w:t xml:space="preserve">that </w:t>
      </w:r>
      <w:r w:rsidRPr="00A26A70">
        <w:rPr>
          <w:rFonts w:ascii="Times New Roman" w:hAnsi="Times New Roman" w:cs="Times New Roman"/>
          <w:sz w:val="24"/>
          <w:szCs w:val="24"/>
        </w:rPr>
        <w:t>provid</w:t>
      </w:r>
      <w:r w:rsidR="003A5DFC" w:rsidRPr="00A26A70">
        <w:rPr>
          <w:rFonts w:ascii="Times New Roman" w:hAnsi="Times New Roman" w:cs="Times New Roman"/>
          <w:sz w:val="24"/>
          <w:szCs w:val="24"/>
        </w:rPr>
        <w:t>es</w:t>
      </w:r>
      <w:r w:rsidRPr="00A26A70">
        <w:rPr>
          <w:rFonts w:ascii="Times New Roman" w:hAnsi="Times New Roman" w:cs="Times New Roman"/>
          <w:sz w:val="24"/>
          <w:szCs w:val="24"/>
        </w:rPr>
        <w:t xml:space="preserve"> tanning services.</w:t>
      </w:r>
    </w:p>
    <w:p w:rsidR="00424617" w:rsidRPr="00D964CA" w:rsidRDefault="00424617" w:rsidP="00424617">
      <w:pPr>
        <w:rPr>
          <w:rFonts w:ascii="Times New Roman" w:hAnsi="Times New Roman" w:cs="Times New Roman"/>
          <w:b/>
          <w:sz w:val="24"/>
          <w:szCs w:val="24"/>
        </w:rPr>
      </w:pPr>
      <w:r w:rsidRPr="00D964CA">
        <w:rPr>
          <w:rFonts w:ascii="Times New Roman" w:hAnsi="Times New Roman" w:cs="Times New Roman"/>
          <w:b/>
          <w:sz w:val="24"/>
          <w:szCs w:val="24"/>
        </w:rPr>
        <w:t xml:space="preserve">How can large C Corporations invest in Opportunity Zones?  </w:t>
      </w:r>
    </w:p>
    <w:p w:rsidR="00FD36C9" w:rsidRDefault="00B63617" w:rsidP="0042461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The final regulations p</w:t>
      </w:r>
      <w:r w:rsidR="00424617" w:rsidRPr="00D964CA">
        <w:rPr>
          <w:rFonts w:ascii="Times New Roman" w:hAnsi="Times New Roman" w:cs="Times New Roman"/>
          <w:sz w:val="24"/>
          <w:szCs w:val="24"/>
        </w:rPr>
        <w:t>rovide an election for a consolidated group of C </w:t>
      </w:r>
      <w:r w:rsidR="00FD36C9">
        <w:rPr>
          <w:rFonts w:ascii="Times New Roman" w:hAnsi="Times New Roman" w:cs="Times New Roman"/>
          <w:sz w:val="24"/>
          <w:szCs w:val="24"/>
        </w:rPr>
        <w:t>C</w:t>
      </w:r>
      <w:r w:rsidR="00424617" w:rsidRPr="00D964CA">
        <w:rPr>
          <w:rFonts w:ascii="Times New Roman" w:hAnsi="Times New Roman" w:cs="Times New Roman"/>
          <w:sz w:val="24"/>
          <w:szCs w:val="24"/>
        </w:rPr>
        <w:t>orporations to treat a lower-tier QOF C </w:t>
      </w:r>
      <w:r w:rsidR="00FD36C9">
        <w:rPr>
          <w:rFonts w:ascii="Times New Roman" w:hAnsi="Times New Roman" w:cs="Times New Roman"/>
          <w:sz w:val="24"/>
          <w:szCs w:val="24"/>
        </w:rPr>
        <w:t>C</w:t>
      </w:r>
      <w:r w:rsidR="00424617" w:rsidRPr="00D964CA">
        <w:rPr>
          <w:rFonts w:ascii="Times New Roman" w:hAnsi="Times New Roman" w:cs="Times New Roman"/>
          <w:sz w:val="24"/>
          <w:szCs w:val="24"/>
        </w:rPr>
        <w:t>orporation as a member of the consolidated group if</w:t>
      </w:r>
      <w:r w:rsidR="00FD36C9">
        <w:rPr>
          <w:rFonts w:ascii="Times New Roman" w:hAnsi="Times New Roman" w:cs="Times New Roman"/>
          <w:sz w:val="24"/>
          <w:szCs w:val="24"/>
        </w:rPr>
        <w:t>:</w:t>
      </w:r>
    </w:p>
    <w:p w:rsidR="00424617" w:rsidRPr="00D964CA" w:rsidRDefault="00424617" w:rsidP="00D964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24617" w:rsidRPr="00D964CA" w:rsidRDefault="00424617" w:rsidP="00424617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 xml:space="preserve">Only other members of the consolidated group hold 100% of the QOF member’s stock, and </w:t>
      </w:r>
    </w:p>
    <w:p w:rsidR="00FD36C9" w:rsidRDefault="00FD36C9" w:rsidP="00D964C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36C9" w:rsidRDefault="00FD36C9" w:rsidP="00FD36C9">
      <w:pPr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4617" w:rsidRPr="00D964CA">
        <w:rPr>
          <w:rFonts w:ascii="Times New Roman" w:hAnsi="Times New Roman" w:cs="Times New Roman"/>
          <w:sz w:val="24"/>
          <w:szCs w:val="24"/>
        </w:rPr>
        <w:t>QOF member complies with special intergroup transaction rules to remain a member of the group.</w:t>
      </w:r>
    </w:p>
    <w:p w:rsidR="00FD36C9" w:rsidRDefault="00FD36C9" w:rsidP="00D96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C9" w:rsidRDefault="00B63617" w:rsidP="00D964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The regulations also p</w:t>
      </w:r>
      <w:r w:rsidR="00424617" w:rsidRPr="00D964CA">
        <w:rPr>
          <w:rFonts w:ascii="Times New Roman" w:hAnsi="Times New Roman" w:cs="Times New Roman"/>
          <w:sz w:val="24"/>
          <w:szCs w:val="24"/>
        </w:rPr>
        <w:t>rovide alternative retroactive elections for a consolidated group that had formed a QOF C </w:t>
      </w:r>
      <w:r w:rsidR="00FD36C9">
        <w:rPr>
          <w:rFonts w:ascii="Times New Roman" w:hAnsi="Times New Roman" w:cs="Times New Roman"/>
          <w:sz w:val="24"/>
          <w:szCs w:val="24"/>
        </w:rPr>
        <w:t>C</w:t>
      </w:r>
      <w:r w:rsidR="00424617" w:rsidRPr="00D964CA">
        <w:rPr>
          <w:rFonts w:ascii="Times New Roman" w:hAnsi="Times New Roman" w:cs="Times New Roman"/>
          <w:sz w:val="24"/>
          <w:szCs w:val="24"/>
        </w:rPr>
        <w:t xml:space="preserve">orporation before </w:t>
      </w:r>
      <w:r w:rsidRPr="00D964CA">
        <w:rPr>
          <w:rFonts w:ascii="Times New Roman" w:hAnsi="Times New Roman" w:cs="Times New Roman"/>
          <w:sz w:val="24"/>
          <w:szCs w:val="24"/>
        </w:rPr>
        <w:t xml:space="preserve">the May 1, 2018, proposed regulations </w:t>
      </w:r>
      <w:r w:rsidR="00424617" w:rsidRPr="00D964CA">
        <w:rPr>
          <w:rFonts w:ascii="Times New Roman" w:hAnsi="Times New Roman" w:cs="Times New Roman"/>
          <w:sz w:val="24"/>
          <w:szCs w:val="24"/>
        </w:rPr>
        <w:t>to elect to treat the treat the QOF C </w:t>
      </w:r>
      <w:r w:rsidR="00FD36C9">
        <w:rPr>
          <w:rFonts w:ascii="Times New Roman" w:hAnsi="Times New Roman" w:cs="Times New Roman"/>
          <w:sz w:val="24"/>
          <w:szCs w:val="24"/>
        </w:rPr>
        <w:t>C</w:t>
      </w:r>
      <w:r w:rsidR="00424617" w:rsidRPr="00D964CA">
        <w:rPr>
          <w:rFonts w:ascii="Times New Roman" w:hAnsi="Times New Roman" w:cs="Times New Roman"/>
          <w:sz w:val="24"/>
          <w:szCs w:val="24"/>
        </w:rPr>
        <w:t>orporation as</w:t>
      </w:r>
      <w:r w:rsidR="00FD36C9">
        <w:rPr>
          <w:rFonts w:ascii="Times New Roman" w:hAnsi="Times New Roman" w:cs="Times New Roman"/>
          <w:sz w:val="24"/>
          <w:szCs w:val="24"/>
        </w:rPr>
        <w:t>:</w:t>
      </w:r>
    </w:p>
    <w:p w:rsidR="00424617" w:rsidRPr="00D964CA" w:rsidRDefault="00424617" w:rsidP="00D964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4617" w:rsidRDefault="00424617" w:rsidP="00D964CA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Always having been a QOF partnership, or</w:t>
      </w:r>
    </w:p>
    <w:p w:rsidR="00FD36C9" w:rsidRPr="00D964CA" w:rsidRDefault="00FD36C9" w:rsidP="00D964C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4617" w:rsidRPr="00D964CA" w:rsidRDefault="00424617" w:rsidP="00D964CA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CA">
        <w:rPr>
          <w:rFonts w:ascii="Times New Roman" w:hAnsi="Times New Roman" w:cs="Times New Roman"/>
          <w:sz w:val="24"/>
          <w:szCs w:val="24"/>
        </w:rPr>
        <w:t>Never having been a member of the consolidated group.</w:t>
      </w:r>
    </w:p>
    <w:p w:rsidR="009551F5" w:rsidRDefault="009551F5"/>
    <w:sectPr w:rsidR="009551F5" w:rsidSect="00D964CA">
      <w:headerReference w:type="default" r:id="rId7"/>
      <w:footerReference w:type="default" r:id="rId8"/>
      <w:headerReference w:type="first" r:id="rId9"/>
      <w:pgSz w:w="12240" w:h="15840"/>
      <w:pgMar w:top="90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A9" w:rsidRDefault="00AB71A9" w:rsidP="00A90E2C">
      <w:pPr>
        <w:spacing w:after="0" w:line="240" w:lineRule="auto"/>
      </w:pPr>
      <w:r>
        <w:separator/>
      </w:r>
    </w:p>
  </w:endnote>
  <w:endnote w:type="continuationSeparator" w:id="0">
    <w:p w:rsidR="00AB71A9" w:rsidRDefault="00AB71A9" w:rsidP="00A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683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6AE1" w:rsidRPr="00D964CA" w:rsidRDefault="00176A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4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6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91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64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0E2C" w:rsidRDefault="00A9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A9" w:rsidRDefault="00AB71A9" w:rsidP="00A90E2C">
      <w:pPr>
        <w:spacing w:after="0" w:line="240" w:lineRule="auto"/>
      </w:pPr>
      <w:r>
        <w:separator/>
      </w:r>
    </w:p>
  </w:footnote>
  <w:footnote w:type="continuationSeparator" w:id="0">
    <w:p w:rsidR="00AB71A9" w:rsidRDefault="00AB71A9" w:rsidP="00A9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34" w:rsidRDefault="00FD1434">
    <w:pPr>
      <w:pStyle w:val="Header"/>
    </w:pPr>
  </w:p>
  <w:p w:rsidR="00FD1434" w:rsidRDefault="00FD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34" w:rsidRDefault="00FD1434" w:rsidP="00D964CA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E2BD716" wp14:editId="42E71227">
          <wp:extent cx="2247900" cy="1019175"/>
          <wp:effectExtent l="0" t="0" r="0" b="9525"/>
          <wp:docPr id="10" name="Picture 10" descr="cid:image001.png@01D5B4F7.97E3F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5B4F7.97E3F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750"/>
    <w:multiLevelType w:val="hybridMultilevel"/>
    <w:tmpl w:val="D754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8E"/>
    <w:multiLevelType w:val="hybridMultilevel"/>
    <w:tmpl w:val="0270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6C5"/>
    <w:multiLevelType w:val="hybridMultilevel"/>
    <w:tmpl w:val="6BD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686"/>
    <w:multiLevelType w:val="hybridMultilevel"/>
    <w:tmpl w:val="0C1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580"/>
    <w:multiLevelType w:val="hybridMultilevel"/>
    <w:tmpl w:val="014A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68D4"/>
    <w:multiLevelType w:val="hybridMultilevel"/>
    <w:tmpl w:val="B1C2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6151"/>
    <w:multiLevelType w:val="hybridMultilevel"/>
    <w:tmpl w:val="6008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724"/>
    <w:multiLevelType w:val="hybridMultilevel"/>
    <w:tmpl w:val="8DF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337"/>
    <w:multiLevelType w:val="hybridMultilevel"/>
    <w:tmpl w:val="C7B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96B73"/>
    <w:multiLevelType w:val="hybridMultilevel"/>
    <w:tmpl w:val="E69C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7B0E"/>
    <w:multiLevelType w:val="hybridMultilevel"/>
    <w:tmpl w:val="41A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D739D"/>
    <w:multiLevelType w:val="hybridMultilevel"/>
    <w:tmpl w:val="2636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AA2"/>
    <w:multiLevelType w:val="hybridMultilevel"/>
    <w:tmpl w:val="BEA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3CF1"/>
    <w:multiLevelType w:val="hybridMultilevel"/>
    <w:tmpl w:val="2F007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1E58"/>
    <w:multiLevelType w:val="hybridMultilevel"/>
    <w:tmpl w:val="0ABA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0F2"/>
    <w:multiLevelType w:val="hybridMultilevel"/>
    <w:tmpl w:val="9F9C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A14E4"/>
    <w:multiLevelType w:val="hybridMultilevel"/>
    <w:tmpl w:val="73028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5"/>
    <w:rsid w:val="000625F4"/>
    <w:rsid w:val="000E3813"/>
    <w:rsid w:val="000F6C5B"/>
    <w:rsid w:val="001106A0"/>
    <w:rsid w:val="00144E38"/>
    <w:rsid w:val="00176AE1"/>
    <w:rsid w:val="001839CB"/>
    <w:rsid w:val="0027706D"/>
    <w:rsid w:val="002C76B9"/>
    <w:rsid w:val="002D2FA8"/>
    <w:rsid w:val="00307CED"/>
    <w:rsid w:val="00377460"/>
    <w:rsid w:val="003A5DFC"/>
    <w:rsid w:val="003B1947"/>
    <w:rsid w:val="0040566A"/>
    <w:rsid w:val="00414594"/>
    <w:rsid w:val="00424617"/>
    <w:rsid w:val="00430A90"/>
    <w:rsid w:val="004A1D05"/>
    <w:rsid w:val="004A21EF"/>
    <w:rsid w:val="004B4CF5"/>
    <w:rsid w:val="004B4DFB"/>
    <w:rsid w:val="004B66B4"/>
    <w:rsid w:val="00516222"/>
    <w:rsid w:val="005406DE"/>
    <w:rsid w:val="0055712E"/>
    <w:rsid w:val="00571F7E"/>
    <w:rsid w:val="005A24EB"/>
    <w:rsid w:val="006B0639"/>
    <w:rsid w:val="006C0A15"/>
    <w:rsid w:val="00720957"/>
    <w:rsid w:val="00751386"/>
    <w:rsid w:val="00752B85"/>
    <w:rsid w:val="00771C65"/>
    <w:rsid w:val="007B5C3E"/>
    <w:rsid w:val="007D25F9"/>
    <w:rsid w:val="007D5814"/>
    <w:rsid w:val="007E30F1"/>
    <w:rsid w:val="008352AE"/>
    <w:rsid w:val="008B64C2"/>
    <w:rsid w:val="008F2436"/>
    <w:rsid w:val="009224DA"/>
    <w:rsid w:val="009526FA"/>
    <w:rsid w:val="009551F5"/>
    <w:rsid w:val="009575F0"/>
    <w:rsid w:val="00975FE0"/>
    <w:rsid w:val="0099009E"/>
    <w:rsid w:val="009A01E5"/>
    <w:rsid w:val="009A588D"/>
    <w:rsid w:val="009A6889"/>
    <w:rsid w:val="009B4EF5"/>
    <w:rsid w:val="00A133D0"/>
    <w:rsid w:val="00A26A70"/>
    <w:rsid w:val="00A90E2C"/>
    <w:rsid w:val="00A92D7C"/>
    <w:rsid w:val="00A97964"/>
    <w:rsid w:val="00AB71A9"/>
    <w:rsid w:val="00AD5409"/>
    <w:rsid w:val="00B520D6"/>
    <w:rsid w:val="00B63617"/>
    <w:rsid w:val="00B66A33"/>
    <w:rsid w:val="00B87026"/>
    <w:rsid w:val="00BC6CF3"/>
    <w:rsid w:val="00BE4282"/>
    <w:rsid w:val="00BE7005"/>
    <w:rsid w:val="00C06496"/>
    <w:rsid w:val="00C355A9"/>
    <w:rsid w:val="00CA4296"/>
    <w:rsid w:val="00D3742A"/>
    <w:rsid w:val="00D61C3B"/>
    <w:rsid w:val="00D92C83"/>
    <w:rsid w:val="00D964CA"/>
    <w:rsid w:val="00DC15E2"/>
    <w:rsid w:val="00FA3DEF"/>
    <w:rsid w:val="00FA7538"/>
    <w:rsid w:val="00FC2917"/>
    <w:rsid w:val="00FD1434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2D9F"/>
  <w15:chartTrackingRefBased/>
  <w15:docId w15:val="{8D317B8F-8AFC-4A9D-94CD-6262B2DC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2C"/>
  </w:style>
  <w:style w:type="paragraph" w:styleId="Footer">
    <w:name w:val="footer"/>
    <w:basedOn w:val="Normal"/>
    <w:link w:val="FooterChar"/>
    <w:uiPriority w:val="99"/>
    <w:unhideWhenUsed/>
    <w:rsid w:val="00A9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2C"/>
  </w:style>
  <w:style w:type="paragraph" w:styleId="BalloonText">
    <w:name w:val="Balloon Text"/>
    <w:basedOn w:val="Normal"/>
    <w:link w:val="BalloonTextChar"/>
    <w:uiPriority w:val="99"/>
    <w:semiHidden/>
    <w:unhideWhenUsed/>
    <w:rsid w:val="00B6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B4F7.97E3F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Daniel</dc:creator>
  <cp:keywords/>
  <dc:description/>
  <cp:lastModifiedBy>Morgenstern, Brian</cp:lastModifiedBy>
  <cp:revision>4</cp:revision>
  <cp:lastPrinted>2019-12-18T20:16:00Z</cp:lastPrinted>
  <dcterms:created xsi:type="dcterms:W3CDTF">2019-12-18T20:56:00Z</dcterms:created>
  <dcterms:modified xsi:type="dcterms:W3CDTF">2019-12-18T21:00:00Z</dcterms:modified>
</cp:coreProperties>
</file>